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8810CF">
      <w:pPr>
        <w:rPr>
          <w:rFonts w:hint="eastAsia" w:ascii="黑体" w:hAnsi="黑体" w:eastAsia="黑体"/>
          <w:sz w:val="32"/>
          <w:szCs w:val="32"/>
        </w:rPr>
      </w:pPr>
    </w:p>
    <w:p w14:paraId="1913C6B4">
      <w:pPr>
        <w:jc w:val="center"/>
        <w:rPr>
          <w:rFonts w:hint="eastAsia" w:ascii="方正小标宋_GBK" w:hAnsi="宋体" w:eastAsia="方正小标宋_GBK"/>
          <w:sz w:val="44"/>
          <w:szCs w:val="44"/>
        </w:rPr>
      </w:pPr>
    </w:p>
    <w:p w14:paraId="17667E8C">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木垒哈萨克自治县博斯坦乡中心学校</w:t>
      </w:r>
    </w:p>
    <w:p w14:paraId="75AF2F07">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23A45F80">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36739A39">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584460E1">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375F39C0">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430A625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4E62B43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1B6C362A">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0870618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75C3372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3F032CA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168BA10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D34BE3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4176455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C0AA49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58BD3F2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6416F3FC">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23673E5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4FC7D06E">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133533DA">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38C2FD7C">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3BEB854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50F1B190">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0D5804F8">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41149D11">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74BC7F6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E6FCED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2DBE0E0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D42F2B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098748F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46155BF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134FF9B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3FB52EFB">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19B3113C">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61280319">
      <w:r>
        <w:rPr>
          <w:rFonts w:hint="eastAsia" w:ascii="仿宋_GB2312" w:hAnsi="仿宋_GB2312" w:eastAsia="仿宋_GB2312" w:cs="仿宋_GB2312"/>
          <w:sz w:val="32"/>
          <w:szCs w:val="32"/>
        </w:rPr>
        <w:fldChar w:fldCharType="end"/>
      </w:r>
    </w:p>
    <w:p w14:paraId="4CEB8993">
      <w:pPr>
        <w:rPr>
          <w:rFonts w:ascii="仿宋_GB2312" w:eastAsia="仿宋_GB2312"/>
          <w:sz w:val="32"/>
          <w:szCs w:val="32"/>
        </w:rPr>
      </w:pPr>
      <w:r>
        <w:rPr>
          <w:rFonts w:hint="eastAsia" w:ascii="仿宋_GB2312" w:eastAsia="仿宋_GB2312"/>
          <w:sz w:val="32"/>
          <w:szCs w:val="32"/>
        </w:rPr>
        <w:br w:type="page"/>
      </w:r>
    </w:p>
    <w:p w14:paraId="096EB96B">
      <w:pPr>
        <w:jc w:val="center"/>
        <w:outlineLvl w:val="0"/>
        <w:rPr>
          <w:rFonts w:hint="eastAsia"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14:paraId="4885403F">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138E3EC1">
      <w:pPr>
        <w:ind w:firstLine="640" w:firstLineChars="200"/>
        <w:jc w:val="left"/>
        <w:rPr>
          <w:rFonts w:ascii="仿宋_GB2312" w:eastAsia="仿宋_GB2312"/>
          <w:sz w:val="32"/>
          <w:szCs w:val="32"/>
        </w:rPr>
      </w:pPr>
      <w:bookmarkStart w:id="4" w:name="_Toc31238"/>
      <w:bookmarkStart w:id="5" w:name="_Toc2151"/>
      <w:r>
        <w:rPr>
          <w:rFonts w:hint="eastAsia" w:ascii="仿宋_GB2312" w:eastAsia="仿宋_GB2312"/>
          <w:sz w:val="32"/>
          <w:szCs w:val="32"/>
        </w:rPr>
        <w:t>幼儿园负责为学龄前儿童提供保育和教育服务。以培养幼儿创新精神和实践动手能力为核心，结合主题活动的开展和区域环境的布置进一步增强幼儿动手操作的兴趣，给每个幼儿提供充分动脑动手的机会，孩子们在参与的过程中，主动的去思考、去实践，感受其中的乐趣。建构健康、平等、和谐的师幼环境，要求教师爱护、尊重、赏识每一个孩子，平等、宽容地对待每一个孩子，站在孩子的立场，积极鼓励孩子，努力使他们成为自信、活泼、健康、快乐的孩子。</w:t>
      </w:r>
    </w:p>
    <w:p w14:paraId="57A464AA">
      <w:pPr>
        <w:ind w:firstLine="640" w:firstLineChars="200"/>
        <w:jc w:val="left"/>
        <w:rPr>
          <w:rFonts w:ascii="仿宋_GB2312" w:eastAsia="仿宋_GB2312"/>
          <w:sz w:val="32"/>
          <w:szCs w:val="32"/>
        </w:rPr>
      </w:pPr>
      <w:r>
        <w:rPr>
          <w:rFonts w:hint="eastAsia" w:ascii="仿宋_GB2312" w:eastAsia="仿宋_GB2312"/>
          <w:sz w:val="32"/>
          <w:szCs w:val="32"/>
        </w:rPr>
        <w:t>正确贯彻执行党和国家的教育方针、政策、法规。维护学校的教学秩序，为学生创造良好的学习环境；积极稳妥地推进教育改革，按教育规律办事，不断提高教育质量；根据学校规模，设置学校管理机构，建立健全各项规章制度和岗位责任制。坚持教书育人，服务育人，环境育人方针，加强对学生的思想品德教育，使学生的德智体全面发展。抓好教师队伍建设，使每个教师都热心于教育事业。</w:t>
      </w:r>
    </w:p>
    <w:p w14:paraId="7928C6F6">
      <w:pPr>
        <w:ind w:firstLine="640" w:firstLineChars="200"/>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4A09C359">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木垒哈萨克自治县博斯坦乡中心学校2023年度，实有人数</w:t>
      </w:r>
      <w:r>
        <w:rPr>
          <w:rFonts w:hint="eastAsia" w:ascii="仿宋_GB2312" w:eastAsia="仿宋_GB2312"/>
          <w:sz w:val="32"/>
          <w:szCs w:val="32"/>
          <w:lang w:val="zh-CN"/>
        </w:rPr>
        <w:t>121</w:t>
      </w:r>
      <w:r>
        <w:rPr>
          <w:rFonts w:hint="eastAsia" w:ascii="仿宋_GB2312" w:eastAsia="仿宋_GB2312"/>
          <w:sz w:val="32"/>
          <w:szCs w:val="32"/>
        </w:rPr>
        <w:t>人，其中：在职人员</w:t>
      </w:r>
      <w:r>
        <w:rPr>
          <w:rFonts w:hint="eastAsia" w:ascii="仿宋_GB2312" w:eastAsia="仿宋_GB2312"/>
          <w:sz w:val="32"/>
          <w:szCs w:val="32"/>
          <w:lang w:val="zh-CN"/>
        </w:rPr>
        <w:t>82</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39</w:t>
      </w:r>
      <w:r>
        <w:rPr>
          <w:rFonts w:hint="eastAsia" w:ascii="仿宋_GB2312" w:eastAsia="仿宋_GB2312"/>
          <w:sz w:val="32"/>
          <w:szCs w:val="32"/>
        </w:rPr>
        <w:t>人。</w:t>
      </w:r>
    </w:p>
    <w:p w14:paraId="6E039801">
      <w:pPr>
        <w:widowControl/>
        <w:spacing w:line="540" w:lineRule="exact"/>
        <w:ind w:firstLine="640"/>
        <w:jc w:val="left"/>
        <w:rPr>
          <w:rFonts w:ascii="仿宋_GB2312" w:eastAsia="仿宋_GB2312"/>
          <w:sz w:val="32"/>
          <w:szCs w:val="32"/>
        </w:rPr>
      </w:pPr>
      <w:r>
        <w:rPr>
          <w:rFonts w:hint="eastAsia" w:ascii="仿宋_GB2312" w:hAnsi="黑体" w:eastAsia="仿宋_GB2312" w:cs="宋体"/>
          <w:bCs/>
          <w:kern w:val="0"/>
          <w:sz w:val="32"/>
          <w:szCs w:val="32"/>
        </w:rPr>
        <w:t>单位无下属预算单位，</w:t>
      </w:r>
      <w:r>
        <w:rPr>
          <w:rFonts w:hint="eastAsia" w:ascii="仿宋_GB2312" w:hAnsi="仿宋" w:eastAsia="仿宋_GB2312"/>
          <w:sz w:val="32"/>
          <w:szCs w:val="32"/>
        </w:rPr>
        <w:t>下设4个处室，分别是：教务室、总务室、财务室、德育室。</w:t>
      </w:r>
    </w:p>
    <w:p w14:paraId="4416257D">
      <w:pPr>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p>
    <w:p w14:paraId="63B0B1B4">
      <w:pPr>
        <w:jc w:val="center"/>
        <w:outlineLvl w:val="0"/>
        <w:rPr>
          <w:rFonts w:hint="eastAsia"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14:paraId="1E01EF3D">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14:paraId="673CE18D">
      <w:pPr>
        <w:ind w:firstLine="640" w:firstLineChars="200"/>
        <w:jc w:val="left"/>
        <w:rPr>
          <w:rFonts w:ascii="仿宋_GB2312" w:eastAsia="仿宋_GB2312"/>
          <w:sz w:val="32"/>
          <w:szCs w:val="32"/>
        </w:rPr>
      </w:pPr>
      <w:r>
        <w:rPr>
          <w:rFonts w:hint="eastAsia" w:ascii="仿宋_GB2312" w:eastAsia="仿宋_GB2312"/>
          <w:sz w:val="32"/>
          <w:szCs w:val="32"/>
        </w:rPr>
        <w:t>2023年度收入总计1,806.54万元，其中：本年收入合计1,794.20万元，使用非财政拨款结余0.00万元，年初结转和结余12.34万元。</w:t>
      </w:r>
    </w:p>
    <w:p w14:paraId="5706F4C5">
      <w:pPr>
        <w:ind w:firstLine="640" w:firstLineChars="200"/>
        <w:jc w:val="left"/>
        <w:rPr>
          <w:rFonts w:ascii="仿宋_GB2312" w:eastAsia="仿宋_GB2312"/>
          <w:sz w:val="32"/>
          <w:szCs w:val="32"/>
        </w:rPr>
      </w:pPr>
      <w:r>
        <w:rPr>
          <w:rFonts w:hint="eastAsia" w:ascii="仿宋_GB2312" w:eastAsia="仿宋_GB2312"/>
          <w:sz w:val="32"/>
          <w:szCs w:val="32"/>
        </w:rPr>
        <w:t>2023年度支出总计1,806.54万元，其中：本年支出合计1,806.54万元，结余分配0.00万元，年末结转和结余0.00万元。</w:t>
      </w:r>
    </w:p>
    <w:p w14:paraId="6EB74657">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增加133.89万元</w:t>
      </w:r>
      <w:r>
        <w:rPr>
          <w:rFonts w:hint="eastAsia" w:ascii="仿宋_GB2312" w:eastAsia="仿宋_GB2312"/>
          <w:sz w:val="32"/>
          <w:szCs w:val="32"/>
        </w:rPr>
        <w:t>，增长8.00%，主要原因是：单位本年人员工资、津贴补贴、住房公积金、社保增加</w:t>
      </w:r>
      <w:r>
        <w:rPr>
          <w:rFonts w:hint="eastAsia" w:ascii="仿宋_GB2312" w:eastAsia="仿宋_GB2312"/>
          <w:sz w:val="32"/>
          <w:szCs w:val="32"/>
          <w:lang w:val="zh-CN"/>
        </w:rPr>
        <w:t>。</w:t>
      </w:r>
    </w:p>
    <w:p w14:paraId="69CC0118">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194CECB6">
      <w:pPr>
        <w:ind w:firstLine="640" w:firstLineChars="200"/>
        <w:jc w:val="left"/>
        <w:rPr>
          <w:rFonts w:ascii="仿宋_GB2312" w:eastAsia="仿宋_GB2312"/>
          <w:sz w:val="32"/>
          <w:szCs w:val="32"/>
        </w:rPr>
      </w:pPr>
      <w:r>
        <w:rPr>
          <w:rFonts w:hint="eastAsia" w:ascii="仿宋_GB2312" w:eastAsia="仿宋_GB2312"/>
          <w:sz w:val="32"/>
          <w:szCs w:val="32"/>
        </w:rPr>
        <w:t>本年收入1,794.20万元，其中：财政拨款收入</w:t>
      </w:r>
      <w:r>
        <w:rPr>
          <w:rFonts w:hint="eastAsia" w:ascii="仿宋_GB2312" w:eastAsia="仿宋_GB2312"/>
          <w:sz w:val="32"/>
          <w:szCs w:val="32"/>
          <w:lang w:val="zh-CN"/>
        </w:rPr>
        <w:t>1,787.26</w:t>
      </w:r>
      <w:r>
        <w:rPr>
          <w:rFonts w:hint="eastAsia" w:ascii="仿宋_GB2312" w:eastAsia="仿宋_GB2312"/>
          <w:sz w:val="32"/>
          <w:szCs w:val="32"/>
        </w:rPr>
        <w:t>万元，占</w:t>
      </w:r>
      <w:r>
        <w:rPr>
          <w:rFonts w:hint="eastAsia" w:ascii="仿宋_GB2312" w:eastAsia="仿宋_GB2312"/>
          <w:sz w:val="32"/>
          <w:szCs w:val="32"/>
          <w:lang w:val="zh-CN"/>
        </w:rPr>
        <w:t>99.61</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6.9</w:t>
      </w:r>
      <w:r>
        <w:rPr>
          <w:rFonts w:hint="eastAsia" w:ascii="仿宋_GB2312" w:eastAsia="仿宋_GB2312"/>
          <w:sz w:val="32"/>
          <w:szCs w:val="32"/>
          <w:lang w:val="en-US" w:eastAsia="zh-CN"/>
        </w:rPr>
        <w:t>5</w:t>
      </w:r>
      <w:r>
        <w:rPr>
          <w:rFonts w:hint="eastAsia" w:ascii="仿宋_GB2312" w:eastAsia="仿宋_GB2312"/>
          <w:sz w:val="32"/>
          <w:szCs w:val="32"/>
        </w:rPr>
        <w:t>万元，占</w:t>
      </w:r>
      <w:r>
        <w:rPr>
          <w:rFonts w:hint="eastAsia" w:ascii="仿宋_GB2312" w:eastAsia="仿宋_GB2312"/>
          <w:sz w:val="32"/>
          <w:szCs w:val="32"/>
          <w:lang w:val="zh-CN"/>
        </w:rPr>
        <w:t>0.39</w:t>
      </w:r>
      <w:r>
        <w:rPr>
          <w:rFonts w:hint="eastAsia" w:ascii="仿宋_GB2312" w:eastAsia="仿宋_GB2312"/>
          <w:sz w:val="32"/>
          <w:szCs w:val="32"/>
        </w:rPr>
        <w:t>%。</w:t>
      </w:r>
    </w:p>
    <w:p w14:paraId="200687A2">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0BB4A950">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本年支出1,806.54万元，其中：基本支出1,698.54万元，占94.02%；项目支出108.00万元，占5.98%；上缴上级支出0.00万元，占0.00%；经营支出0.00万元，占0.00%；对附属单位补助支出0.00万元，占0.00%。</w:t>
      </w:r>
    </w:p>
    <w:p w14:paraId="1F5A6669">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2D375DD0">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2023年度财政拨款收入</w:t>
      </w:r>
      <w:r>
        <w:rPr>
          <w:rFonts w:hint="eastAsia" w:ascii="仿宋_GB2312" w:eastAsia="仿宋_GB2312"/>
          <w:sz w:val="32"/>
          <w:szCs w:val="32"/>
        </w:rPr>
        <w:t>总计</w:t>
      </w:r>
      <w:r>
        <w:rPr>
          <w:rFonts w:hint="eastAsia" w:ascii="仿宋_GB2312" w:eastAsia="仿宋_GB2312"/>
          <w:sz w:val="32"/>
          <w:szCs w:val="32"/>
          <w:lang w:val="zh-CN"/>
        </w:rPr>
        <w:t>1,787.26万元，</w:t>
      </w:r>
      <w:r>
        <w:rPr>
          <w:rFonts w:hint="eastAsia" w:ascii="仿宋_GB2312" w:eastAsia="仿宋_GB2312"/>
          <w:sz w:val="32"/>
          <w:szCs w:val="32"/>
        </w:rPr>
        <w:t>其中：年初财政拨款结转和结余</w:t>
      </w:r>
      <w:r>
        <w:rPr>
          <w:rFonts w:hint="eastAsia" w:ascii="仿宋_GB2312" w:eastAsia="仿宋_GB2312"/>
          <w:sz w:val="32"/>
          <w:szCs w:val="32"/>
          <w:lang w:val="zh-CN"/>
        </w:rPr>
        <w:t>0.00万元，</w:t>
      </w:r>
      <w:r>
        <w:rPr>
          <w:rFonts w:hint="eastAsia" w:ascii="仿宋_GB2312" w:eastAsia="仿宋_GB2312"/>
          <w:sz w:val="32"/>
          <w:szCs w:val="32"/>
        </w:rPr>
        <w:t>本年财政拨款收入</w:t>
      </w:r>
      <w:r>
        <w:rPr>
          <w:rFonts w:hint="eastAsia" w:ascii="仿宋_GB2312" w:eastAsia="仿宋_GB2312"/>
          <w:sz w:val="32"/>
          <w:szCs w:val="32"/>
          <w:lang w:val="zh-CN"/>
        </w:rPr>
        <w:t>1,787.26万元。财政拨款支出</w:t>
      </w:r>
      <w:r>
        <w:rPr>
          <w:rFonts w:hint="eastAsia" w:ascii="仿宋_GB2312" w:eastAsia="仿宋_GB2312"/>
          <w:sz w:val="32"/>
          <w:szCs w:val="32"/>
        </w:rPr>
        <w:t>总计</w:t>
      </w:r>
      <w:r>
        <w:rPr>
          <w:rFonts w:hint="eastAsia" w:ascii="仿宋_GB2312" w:eastAsia="仿宋_GB2312"/>
          <w:sz w:val="32"/>
          <w:szCs w:val="32"/>
          <w:lang w:val="zh-CN"/>
        </w:rPr>
        <w:t>1,787.26万元，</w:t>
      </w:r>
      <w:r>
        <w:rPr>
          <w:rFonts w:hint="eastAsia" w:ascii="仿宋_GB2312" w:eastAsia="仿宋_GB2312"/>
          <w:sz w:val="32"/>
          <w:szCs w:val="32"/>
        </w:rPr>
        <w:t>其中：年末财政拨款结转和结余</w:t>
      </w:r>
      <w:r>
        <w:rPr>
          <w:rFonts w:hint="eastAsia" w:ascii="仿宋_GB2312" w:eastAsia="仿宋_GB2312"/>
          <w:sz w:val="32"/>
          <w:szCs w:val="32"/>
          <w:lang w:val="zh-CN"/>
        </w:rPr>
        <w:t>0.00万元，</w:t>
      </w:r>
      <w:r>
        <w:rPr>
          <w:rFonts w:hint="eastAsia" w:ascii="仿宋_GB2312" w:eastAsia="仿宋_GB2312"/>
          <w:sz w:val="32"/>
          <w:szCs w:val="32"/>
        </w:rPr>
        <w:t>本年财政拨款支出</w:t>
      </w:r>
      <w:r>
        <w:rPr>
          <w:rFonts w:hint="eastAsia" w:ascii="仿宋_GB2312" w:eastAsia="仿宋_GB2312"/>
          <w:sz w:val="32"/>
          <w:szCs w:val="32"/>
          <w:lang w:val="zh-CN"/>
        </w:rPr>
        <w:t>1,787.26万元。</w:t>
      </w:r>
    </w:p>
    <w:p w14:paraId="6D4D48E3">
      <w:pPr>
        <w:ind w:firstLine="640" w:firstLineChars="200"/>
        <w:jc w:val="left"/>
        <w:rPr>
          <w:rFonts w:ascii="仿宋_GB2312" w:eastAsia="仿宋_GB2312"/>
          <w:sz w:val="32"/>
          <w:szCs w:val="32"/>
        </w:rPr>
      </w:pPr>
      <w:r>
        <w:rPr>
          <w:rFonts w:hint="eastAsia" w:ascii="仿宋_GB2312" w:eastAsia="仿宋_GB2312"/>
          <w:sz w:val="32"/>
          <w:szCs w:val="32"/>
          <w:lang w:val="zh-CN"/>
        </w:rPr>
        <w:t>财政拨款收入支出总体与上年相比</w:t>
      </w:r>
      <w:r>
        <w:rPr>
          <w:rFonts w:hint="eastAsia" w:ascii="仿宋_GB2312" w:eastAsia="仿宋_GB2312"/>
          <w:sz w:val="32"/>
          <w:szCs w:val="32"/>
        </w:rPr>
        <w:t>,</w:t>
      </w:r>
      <w:r>
        <w:rPr>
          <w:rFonts w:hint="eastAsia" w:ascii="仿宋_GB2312" w:eastAsia="仿宋_GB2312"/>
          <w:sz w:val="32"/>
          <w:szCs w:val="32"/>
          <w:lang w:val="zh-CN"/>
        </w:rPr>
        <w:t>增加139.77万元，</w:t>
      </w:r>
      <w:r>
        <w:rPr>
          <w:rFonts w:hint="eastAsia" w:ascii="仿宋_GB2312" w:eastAsia="仿宋_GB2312"/>
          <w:sz w:val="32"/>
          <w:szCs w:val="32"/>
        </w:rPr>
        <w:t>增长8.48%,</w:t>
      </w:r>
      <w:r>
        <w:rPr>
          <w:rFonts w:hint="eastAsia" w:ascii="仿宋_GB2312" w:eastAsia="仿宋_GB2312"/>
          <w:sz w:val="32"/>
          <w:szCs w:val="32"/>
          <w:lang w:val="zh-CN"/>
        </w:rPr>
        <w:t>主要原因是：</w:t>
      </w:r>
      <w:r>
        <w:rPr>
          <w:rFonts w:hint="eastAsia" w:ascii="仿宋_GB2312" w:eastAsia="仿宋_GB2312"/>
          <w:sz w:val="32"/>
          <w:szCs w:val="32"/>
        </w:rPr>
        <w:t>单位本年城乡义务教育补助经费增加</w:t>
      </w:r>
      <w:r>
        <w:rPr>
          <w:rFonts w:hint="eastAsia" w:ascii="仿宋_GB2312" w:eastAsia="仿宋_GB2312"/>
          <w:sz w:val="32"/>
          <w:szCs w:val="32"/>
          <w:lang w:val="zh-CN"/>
        </w:rPr>
        <w:t>。与年初预算相比，年初预算数1,718.02万元，决算数1,787.26万元，预决算差异率4.03%，主要原因是：</w:t>
      </w:r>
      <w:r>
        <w:rPr>
          <w:rFonts w:hint="eastAsia" w:ascii="仿宋_GB2312" w:eastAsia="仿宋_GB2312"/>
          <w:sz w:val="32"/>
          <w:szCs w:val="32"/>
        </w:rPr>
        <w:t>年中追加城乡义务教育补助项目经费</w:t>
      </w:r>
      <w:r>
        <w:rPr>
          <w:rFonts w:hint="eastAsia" w:ascii="仿宋_GB2312" w:eastAsia="仿宋_GB2312"/>
          <w:sz w:val="32"/>
          <w:szCs w:val="32"/>
          <w:lang w:val="zh-CN"/>
        </w:rPr>
        <w:t>。</w:t>
      </w:r>
    </w:p>
    <w:p w14:paraId="1E073C50">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00F494B4">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27B35097">
      <w:pPr>
        <w:ind w:firstLine="640" w:firstLineChars="200"/>
        <w:jc w:val="left"/>
        <w:rPr>
          <w:rFonts w:ascii="仿宋_GB2312" w:eastAsia="仿宋_GB2312"/>
          <w:sz w:val="32"/>
          <w:szCs w:val="32"/>
        </w:rPr>
      </w:pPr>
      <w:r>
        <w:rPr>
          <w:rFonts w:hint="eastAsia" w:ascii="仿宋_GB2312" w:eastAsia="仿宋_GB2312"/>
          <w:sz w:val="32"/>
          <w:szCs w:val="32"/>
          <w:lang w:val="zh-CN"/>
        </w:rPr>
        <w:t>2023年度一般公共预算财政拨款支出1,787.26万元，占本年支出合计的98.93%。与上年相比，增加139.77万元，</w:t>
      </w:r>
      <w:r>
        <w:rPr>
          <w:rFonts w:hint="eastAsia" w:ascii="仿宋_GB2312" w:eastAsia="仿宋_GB2312"/>
          <w:sz w:val="32"/>
          <w:szCs w:val="32"/>
        </w:rPr>
        <w:t>增长8.48%,</w:t>
      </w:r>
      <w:r>
        <w:rPr>
          <w:rFonts w:hint="eastAsia" w:ascii="仿宋_GB2312" w:eastAsia="仿宋_GB2312"/>
          <w:sz w:val="32"/>
          <w:szCs w:val="32"/>
          <w:lang w:val="zh-CN"/>
        </w:rPr>
        <w:t>主要原因是：</w:t>
      </w:r>
      <w:r>
        <w:rPr>
          <w:rFonts w:hint="eastAsia" w:ascii="仿宋_GB2312" w:eastAsia="仿宋_GB2312"/>
          <w:sz w:val="32"/>
          <w:szCs w:val="32"/>
        </w:rPr>
        <w:t>单位本年城乡义务教育补助经费增加</w:t>
      </w:r>
      <w:r>
        <w:rPr>
          <w:rFonts w:hint="eastAsia" w:ascii="仿宋_GB2312" w:eastAsia="仿宋_GB2312"/>
          <w:sz w:val="32"/>
          <w:szCs w:val="32"/>
          <w:lang w:val="zh-CN"/>
        </w:rPr>
        <w:t>。与年初预算相比，年初预算数1,718.02万元，决算数1,787.26万元，预决算差异率4.03%，主要原因是：</w:t>
      </w:r>
      <w:r>
        <w:rPr>
          <w:rFonts w:hint="eastAsia" w:ascii="仿宋_GB2312" w:eastAsia="仿宋_GB2312"/>
          <w:sz w:val="32"/>
          <w:szCs w:val="32"/>
        </w:rPr>
        <w:t>年中追加城乡义务教育补助项目经费</w:t>
      </w:r>
      <w:r>
        <w:rPr>
          <w:rFonts w:hint="eastAsia" w:ascii="仿宋_GB2312" w:eastAsia="仿宋_GB2312"/>
          <w:sz w:val="32"/>
          <w:szCs w:val="32"/>
          <w:lang w:val="zh-CN"/>
        </w:rPr>
        <w:t>。</w:t>
      </w:r>
    </w:p>
    <w:p w14:paraId="01F93A8B">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1939B715">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1</w:t>
      </w:r>
      <w:r>
        <w:rPr>
          <w:rFonts w:ascii="仿宋_GB2312" w:eastAsia="仿宋_GB2312"/>
          <w:kern w:val="2"/>
          <w:sz w:val="32"/>
          <w:szCs w:val="32"/>
          <w:lang w:val="zh-CN"/>
        </w:rPr>
        <w:t>.教育支出（类）</w:t>
      </w:r>
      <w:r>
        <w:rPr>
          <w:rFonts w:hint="eastAsia" w:ascii="仿宋_GB2312" w:eastAsia="仿宋_GB2312"/>
          <w:kern w:val="2"/>
          <w:sz w:val="32"/>
          <w:szCs w:val="32"/>
          <w:lang w:val="zh-CN"/>
        </w:rPr>
        <w:t>1,694.19</w:t>
      </w:r>
      <w:r>
        <w:rPr>
          <w:rFonts w:ascii="仿宋_GB2312" w:eastAsia="仿宋_GB2312"/>
          <w:kern w:val="2"/>
          <w:sz w:val="32"/>
          <w:szCs w:val="32"/>
          <w:lang w:val="zh-CN"/>
        </w:rPr>
        <w:t>万元，占</w:t>
      </w:r>
      <w:r>
        <w:rPr>
          <w:rFonts w:hint="eastAsia" w:ascii="仿宋_GB2312" w:eastAsia="仿宋_GB2312"/>
          <w:kern w:val="2"/>
          <w:sz w:val="32"/>
          <w:szCs w:val="32"/>
          <w:lang w:val="zh-CN"/>
        </w:rPr>
        <w:t>94.79</w:t>
      </w:r>
      <w:r>
        <w:rPr>
          <w:rFonts w:ascii="仿宋_GB2312" w:eastAsia="仿宋_GB2312"/>
          <w:kern w:val="2"/>
          <w:sz w:val="32"/>
          <w:szCs w:val="32"/>
          <w:lang w:val="zh-CN"/>
        </w:rPr>
        <w:t>%；</w:t>
      </w:r>
    </w:p>
    <w:p w14:paraId="47B8E9AE">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2</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93.07</w:t>
      </w:r>
      <w:r>
        <w:rPr>
          <w:rFonts w:ascii="仿宋_GB2312" w:eastAsia="仿宋_GB2312"/>
          <w:kern w:val="2"/>
          <w:sz w:val="32"/>
          <w:szCs w:val="32"/>
          <w:lang w:val="zh-CN"/>
        </w:rPr>
        <w:t>万元，占</w:t>
      </w:r>
      <w:r>
        <w:rPr>
          <w:rFonts w:hint="eastAsia" w:ascii="仿宋_GB2312" w:eastAsia="仿宋_GB2312"/>
          <w:kern w:val="2"/>
          <w:sz w:val="32"/>
          <w:szCs w:val="32"/>
          <w:lang w:val="zh-CN"/>
        </w:rPr>
        <w:t>5.21</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4DBC79BC">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1391ABCF">
      <w:pPr>
        <w:ind w:firstLine="640" w:firstLineChars="200"/>
        <w:rPr>
          <w:rFonts w:ascii="仿宋_GB2312" w:eastAsia="仿宋_GB2312"/>
          <w:sz w:val="32"/>
          <w:szCs w:val="32"/>
          <w:lang w:val="zh-CN"/>
        </w:rPr>
      </w:pPr>
      <w:r>
        <w:rPr>
          <w:rFonts w:hint="eastAsia" w:ascii="仿宋_GB2312" w:eastAsia="仿宋_GB2312"/>
          <w:sz w:val="32"/>
          <w:szCs w:val="32"/>
        </w:rPr>
        <w:t>1.教育支出（类）教育费附加安排的支出（款）其他教育费附加安排的支出（项）:支出决算数为2.12万元，比上年决算减少2.88万元，下降57.</w:t>
      </w:r>
      <w:r>
        <w:rPr>
          <w:rFonts w:hint="eastAsia" w:ascii="仿宋_GB2312" w:eastAsia="仿宋_GB2312"/>
          <w:sz w:val="32"/>
          <w:szCs w:val="32"/>
          <w:lang w:val="en-US" w:eastAsia="zh-CN"/>
        </w:rPr>
        <w:t>60</w:t>
      </w:r>
      <w:r>
        <w:rPr>
          <w:rFonts w:hint="eastAsia" w:ascii="仿宋_GB2312" w:eastAsia="仿宋_GB2312"/>
          <w:sz w:val="32"/>
          <w:szCs w:val="32"/>
        </w:rPr>
        <w:t>%，主要原因是：单位本年</w:t>
      </w:r>
      <w:r>
        <w:rPr>
          <w:rFonts w:hint="eastAsia" w:ascii="仿宋_GB2312" w:eastAsia="仿宋_GB2312"/>
          <w:sz w:val="32"/>
          <w:szCs w:val="32"/>
          <w:lang w:val="zh-CN"/>
        </w:rPr>
        <w:t>课后服务经费</w:t>
      </w:r>
      <w:r>
        <w:rPr>
          <w:rFonts w:hint="eastAsia" w:ascii="仿宋_GB2312" w:eastAsia="仿宋_GB2312"/>
          <w:sz w:val="32"/>
          <w:szCs w:val="32"/>
        </w:rPr>
        <w:t>减少</w:t>
      </w:r>
      <w:r>
        <w:rPr>
          <w:rFonts w:hint="eastAsia" w:ascii="仿宋_GB2312" w:eastAsia="仿宋_GB2312"/>
          <w:sz w:val="32"/>
          <w:szCs w:val="32"/>
          <w:lang w:val="zh-CN"/>
        </w:rPr>
        <w:t>。</w:t>
      </w:r>
    </w:p>
    <w:p w14:paraId="519A649C">
      <w:pPr>
        <w:ind w:firstLine="640" w:firstLineChars="200"/>
        <w:rPr>
          <w:rFonts w:ascii="仿宋_GB2312" w:eastAsia="仿宋_GB2312"/>
          <w:sz w:val="32"/>
          <w:szCs w:val="32"/>
          <w:lang w:val="zh-CN"/>
        </w:rPr>
      </w:pPr>
      <w:r>
        <w:rPr>
          <w:rFonts w:hint="eastAsia" w:ascii="仿宋_GB2312" w:eastAsia="仿宋_GB2312"/>
          <w:sz w:val="32"/>
          <w:szCs w:val="32"/>
        </w:rPr>
        <w:t>2.社会保障和就业支出（类）抚恤（款）死亡抚恤（项）:支出决算数为11.74万元，比上年决算增加9.4</w:t>
      </w:r>
      <w:r>
        <w:rPr>
          <w:rFonts w:hint="eastAsia" w:ascii="仿宋_GB2312" w:eastAsia="仿宋_GB2312"/>
          <w:sz w:val="32"/>
          <w:szCs w:val="32"/>
          <w:lang w:val="en-US" w:eastAsia="zh-CN"/>
        </w:rPr>
        <w:t>4</w:t>
      </w:r>
      <w:r>
        <w:rPr>
          <w:rFonts w:hint="eastAsia" w:ascii="仿宋_GB2312" w:eastAsia="仿宋_GB2312"/>
          <w:sz w:val="32"/>
          <w:szCs w:val="32"/>
        </w:rPr>
        <w:t>万元，增长4</w:t>
      </w:r>
      <w:r>
        <w:rPr>
          <w:rFonts w:hint="eastAsia" w:ascii="仿宋_GB2312" w:eastAsia="仿宋_GB2312"/>
          <w:sz w:val="32"/>
          <w:szCs w:val="32"/>
          <w:lang w:val="en-US" w:eastAsia="zh-CN"/>
        </w:rPr>
        <w:t>10</w:t>
      </w:r>
      <w:r>
        <w:rPr>
          <w:rFonts w:hint="eastAsia" w:ascii="仿宋_GB2312" w:eastAsia="仿宋_GB2312"/>
          <w:sz w:val="32"/>
          <w:szCs w:val="32"/>
        </w:rPr>
        <w:t>.4</w:t>
      </w:r>
      <w:r>
        <w:rPr>
          <w:rFonts w:hint="eastAsia" w:ascii="仿宋_GB2312" w:eastAsia="仿宋_GB2312"/>
          <w:sz w:val="32"/>
          <w:szCs w:val="32"/>
          <w:lang w:val="en-US" w:eastAsia="zh-CN"/>
        </w:rPr>
        <w:t>3</w:t>
      </w:r>
      <w:r>
        <w:rPr>
          <w:rFonts w:hint="eastAsia" w:ascii="仿宋_GB2312" w:eastAsia="仿宋_GB2312"/>
          <w:sz w:val="32"/>
          <w:szCs w:val="32"/>
        </w:rPr>
        <w:t>%，主要原因是：单位本年</w:t>
      </w:r>
      <w:r>
        <w:rPr>
          <w:rFonts w:hint="eastAsia" w:eastAsia="仿宋_GB2312"/>
          <w:sz w:val="32"/>
          <w:szCs w:val="32"/>
        </w:rPr>
        <w:t>因病去世退休教师1人，抚恤金支付增加</w:t>
      </w:r>
      <w:r>
        <w:rPr>
          <w:rFonts w:hint="eastAsia" w:ascii="仿宋_GB2312" w:eastAsia="仿宋_GB2312"/>
          <w:sz w:val="32"/>
          <w:szCs w:val="32"/>
          <w:lang w:val="zh-CN"/>
        </w:rPr>
        <w:t>。</w:t>
      </w:r>
    </w:p>
    <w:p w14:paraId="58B12202">
      <w:pPr>
        <w:ind w:firstLine="640" w:firstLineChars="200"/>
        <w:rPr>
          <w:rFonts w:ascii="仿宋_GB2312" w:eastAsia="仿宋_GB2312"/>
          <w:sz w:val="32"/>
          <w:szCs w:val="32"/>
          <w:lang w:val="zh-CN"/>
        </w:rPr>
      </w:pPr>
      <w:r>
        <w:rPr>
          <w:rFonts w:hint="eastAsia" w:ascii="仿宋_GB2312" w:eastAsia="仿宋_GB2312"/>
          <w:sz w:val="32"/>
          <w:szCs w:val="32"/>
        </w:rPr>
        <w:t>3.教育支出（类）普通教育（款）小学教育（项）:支出决算数为1,410.17万元，比上年决算增加6.67万元，增长0.48%，主要原因是：单位本</w:t>
      </w:r>
      <w:r>
        <w:rPr>
          <w:rFonts w:hint="eastAsia" w:ascii="仿宋_GB2312" w:eastAsia="仿宋_GB2312"/>
          <w:sz w:val="32"/>
          <w:szCs w:val="32"/>
          <w:lang w:val="zh-CN"/>
        </w:rPr>
        <w:t>年城乡义务教育经费</w:t>
      </w:r>
      <w:r>
        <w:rPr>
          <w:rFonts w:hint="eastAsia" w:ascii="仿宋_GB2312" w:eastAsia="仿宋_GB2312"/>
          <w:sz w:val="32"/>
          <w:szCs w:val="32"/>
        </w:rPr>
        <w:t>增加</w:t>
      </w:r>
      <w:r>
        <w:rPr>
          <w:rFonts w:hint="eastAsia" w:ascii="仿宋_GB2312" w:eastAsia="仿宋_GB2312"/>
          <w:sz w:val="32"/>
          <w:szCs w:val="32"/>
          <w:lang w:val="zh-CN"/>
        </w:rPr>
        <w:t>。</w:t>
      </w:r>
    </w:p>
    <w:p w14:paraId="7F7B1FC8">
      <w:pPr>
        <w:ind w:firstLine="640" w:firstLineChars="200"/>
        <w:rPr>
          <w:rFonts w:eastAsia="仿宋_GB2312"/>
          <w:sz w:val="32"/>
          <w:szCs w:val="32"/>
          <w:lang w:val="zh-CN"/>
        </w:rPr>
      </w:pPr>
      <w:r>
        <w:rPr>
          <w:rFonts w:hint="eastAsia" w:ascii="仿宋_GB2312" w:eastAsia="仿宋_GB2312"/>
          <w:sz w:val="32"/>
          <w:szCs w:val="32"/>
        </w:rPr>
        <w:t>4.社会保障和就业支出（类）行政事业单位养老支出（款）事业单位离退休（项）:支出决算数为11.69万元，比上年决算增加7.12万元，增长155.</w:t>
      </w:r>
      <w:r>
        <w:rPr>
          <w:rFonts w:hint="eastAsia" w:ascii="仿宋_GB2312" w:eastAsia="仿宋_GB2312"/>
          <w:sz w:val="32"/>
          <w:szCs w:val="32"/>
          <w:lang w:val="en-US" w:eastAsia="zh-CN"/>
        </w:rPr>
        <w:t>80</w:t>
      </w:r>
      <w:bookmarkStart w:id="48" w:name="_GoBack"/>
      <w:bookmarkEnd w:id="48"/>
      <w:r>
        <w:rPr>
          <w:rFonts w:hint="eastAsia" w:ascii="仿宋_GB2312" w:eastAsia="仿宋_GB2312"/>
          <w:sz w:val="32"/>
          <w:szCs w:val="32"/>
        </w:rPr>
        <w:t>%，主要原因是：单位本年</w:t>
      </w:r>
      <w:r>
        <w:rPr>
          <w:rFonts w:hint="eastAsia" w:eastAsia="仿宋_GB2312"/>
          <w:sz w:val="32"/>
          <w:szCs w:val="32"/>
        </w:rPr>
        <w:t>发放退休教师绩效奖金增加</w:t>
      </w:r>
      <w:r>
        <w:rPr>
          <w:rFonts w:hint="eastAsia" w:eastAsia="仿宋_GB2312"/>
          <w:sz w:val="32"/>
          <w:szCs w:val="32"/>
          <w:lang w:val="zh-CN"/>
        </w:rPr>
        <w:t>。</w:t>
      </w:r>
    </w:p>
    <w:p w14:paraId="408D4DE9">
      <w:pPr>
        <w:ind w:firstLine="640" w:firstLineChars="200"/>
        <w:jc w:val="left"/>
        <w:rPr>
          <w:rFonts w:ascii="仿宋_GB2312" w:eastAsia="仿宋_GB2312"/>
          <w:sz w:val="32"/>
          <w:szCs w:val="32"/>
          <w:lang w:val="zh-CN"/>
        </w:rPr>
      </w:pPr>
      <w:r>
        <w:rPr>
          <w:rFonts w:hint="eastAsia" w:ascii="仿宋_GB2312" w:eastAsia="仿宋_GB2312"/>
          <w:sz w:val="32"/>
          <w:szCs w:val="32"/>
        </w:rPr>
        <w:t>5.教育支出（类）普通教育（款）学前教育（项）:支出决算数为281.90万元，比上年决算增加49.78万元，增长21.45%，主要原因是：单位本年人员工资、津贴补贴、住房公积金、社保增加</w:t>
      </w:r>
      <w:r>
        <w:rPr>
          <w:rFonts w:hint="eastAsia" w:ascii="仿宋_GB2312" w:eastAsia="仿宋_GB2312"/>
          <w:sz w:val="32"/>
          <w:szCs w:val="32"/>
          <w:lang w:val="zh-CN"/>
        </w:rPr>
        <w:t>。</w:t>
      </w:r>
    </w:p>
    <w:p w14:paraId="0EC81DAE">
      <w:pPr>
        <w:ind w:firstLine="640" w:firstLineChars="200"/>
        <w:rPr>
          <w:rFonts w:ascii="仿宋_GB2312" w:eastAsia="仿宋_GB2312"/>
          <w:sz w:val="32"/>
          <w:szCs w:val="32"/>
          <w:lang w:val="zh-CN"/>
        </w:rPr>
      </w:pPr>
      <w:r>
        <w:rPr>
          <w:rFonts w:hint="eastAsia" w:ascii="仿宋_GB2312" w:eastAsia="仿宋_GB2312"/>
          <w:sz w:val="32"/>
          <w:szCs w:val="32"/>
        </w:rPr>
        <w:t>6.社会保障和就业支出（类）行政事业单位养老支出（款）机关事业单位职业年金缴费支出（项）:支出决算数为69.64万元，比上年决算增加69.64万元，增长100%，主要原因是：单位本年退休人员增加、</w:t>
      </w:r>
      <w:r>
        <w:rPr>
          <w:rFonts w:hint="eastAsia" w:eastAsia="仿宋_GB2312"/>
          <w:sz w:val="32"/>
          <w:szCs w:val="32"/>
        </w:rPr>
        <w:t>补缴前年辞职</w:t>
      </w:r>
      <w:r>
        <w:rPr>
          <w:rFonts w:hint="eastAsia" w:ascii="仿宋_GB2312" w:eastAsia="仿宋_GB2312"/>
          <w:sz w:val="32"/>
          <w:szCs w:val="32"/>
        </w:rPr>
        <w:t>辞退8人</w:t>
      </w:r>
      <w:r>
        <w:rPr>
          <w:rFonts w:hint="eastAsia" w:eastAsia="仿宋_GB2312"/>
          <w:sz w:val="32"/>
          <w:szCs w:val="32"/>
        </w:rPr>
        <w:t>的职业年金</w:t>
      </w:r>
      <w:r>
        <w:rPr>
          <w:rFonts w:hint="eastAsia" w:ascii="仿宋_GB2312" w:eastAsia="仿宋_GB2312"/>
          <w:sz w:val="32"/>
          <w:szCs w:val="32"/>
          <w:lang w:val="zh-CN"/>
        </w:rPr>
        <w:t>。</w:t>
      </w:r>
    </w:p>
    <w:p w14:paraId="00336327">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01AB8C13">
      <w:pPr>
        <w:ind w:firstLine="640" w:firstLineChars="200"/>
        <w:rPr>
          <w:rFonts w:ascii="仿宋_GB2312" w:eastAsia="仿宋_GB2312"/>
          <w:sz w:val="32"/>
          <w:szCs w:val="32"/>
        </w:rPr>
      </w:pPr>
      <w:r>
        <w:rPr>
          <w:rFonts w:hint="eastAsia" w:ascii="仿宋_GB2312" w:eastAsia="仿宋_GB2312"/>
          <w:sz w:val="32"/>
          <w:szCs w:val="32"/>
        </w:rPr>
        <w:t>2023年度一般公共预算财政拨款基本支出1,691.05万元，其中：人员经费1,675.01万元，包括：基本工资、津贴补贴、奖金、机关事业单位基本养老保险缴费、职业年金缴费、职工基本医疗保险缴费、其他社会保障缴费、住房公积金、退休费、抚恤金、生活补助、助学金、奖励金、其他对个人和家庭的补助。</w:t>
      </w:r>
    </w:p>
    <w:p w14:paraId="185CD267">
      <w:pPr>
        <w:ind w:firstLine="640" w:firstLineChars="200"/>
        <w:rPr>
          <w:rFonts w:ascii="仿宋_GB2312" w:eastAsia="仿宋_GB2312"/>
          <w:sz w:val="32"/>
          <w:szCs w:val="32"/>
        </w:rPr>
      </w:pPr>
      <w:r>
        <w:rPr>
          <w:rFonts w:hint="eastAsia" w:ascii="仿宋_GB2312" w:eastAsia="仿宋_GB2312"/>
          <w:sz w:val="32"/>
          <w:szCs w:val="32"/>
        </w:rPr>
        <w:t>公用经费16.04万元，包括：水费、电费、邮电费、取暖费。</w:t>
      </w:r>
    </w:p>
    <w:p w14:paraId="453D142A">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13D134F8">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“三公”经费支出0.00万元，</w:t>
      </w:r>
      <w:r>
        <w:rPr>
          <w:rFonts w:hint="eastAsia" w:ascii="仿宋_GB2312" w:eastAsia="仿宋_GB2312"/>
          <w:sz w:val="32"/>
          <w:szCs w:val="32"/>
        </w:rPr>
        <w:t>比上年</w:t>
      </w:r>
      <w:r>
        <w:rPr>
          <w:rFonts w:hint="eastAsia" w:ascii="仿宋_GB2312" w:eastAsia="仿宋_GB2312"/>
          <w:sz w:val="32"/>
          <w:szCs w:val="32"/>
          <w:lang w:val="zh-CN"/>
        </w:rPr>
        <w:t>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hint="eastAsia" w:ascii="仿宋_GB2312" w:eastAsia="仿宋_GB2312"/>
          <w:sz w:val="32"/>
          <w:szCs w:val="32"/>
        </w:rPr>
        <w:t>单位本年无此项经费</w:t>
      </w:r>
      <w:r>
        <w:rPr>
          <w:rFonts w:hint="eastAsia" w:ascii="仿宋_GB2312" w:eastAsia="仿宋_GB2312"/>
          <w:sz w:val="32"/>
          <w:szCs w:val="32"/>
          <w:lang w:val="zh-CN"/>
        </w:rPr>
        <w:t>。其中：因公出国（境）费支出0.00万元，占0.00%，比上年增加0.00万元，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hint="eastAsia" w:ascii="仿宋_GB2312" w:eastAsia="仿宋_GB2312"/>
          <w:sz w:val="32"/>
          <w:szCs w:val="32"/>
        </w:rPr>
        <w:t>单位本年无此项经费</w:t>
      </w:r>
      <w:r>
        <w:rPr>
          <w:rFonts w:hint="eastAsia" w:ascii="仿宋_GB2312" w:eastAsia="仿宋_GB2312"/>
          <w:sz w:val="32"/>
          <w:szCs w:val="32"/>
          <w:lang w:val="zh-CN"/>
        </w:rPr>
        <w:t>；公务用车购置及运行维护费支出0.00万元，占0.00%，比上年增加0.00万元，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hint="eastAsia" w:ascii="仿宋_GB2312" w:eastAsia="仿宋_GB2312"/>
          <w:sz w:val="32"/>
          <w:szCs w:val="32"/>
        </w:rPr>
        <w:t>单位本年无此项经费</w:t>
      </w:r>
      <w:r>
        <w:rPr>
          <w:rFonts w:hint="eastAsia" w:ascii="仿宋_GB2312" w:eastAsia="仿宋_GB2312"/>
          <w:sz w:val="32"/>
          <w:szCs w:val="32"/>
          <w:lang w:val="zh-CN"/>
        </w:rPr>
        <w:t>；公务接待费支出0.00万元，占0.00%，比上年增加0.00万元，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hint="eastAsia" w:ascii="仿宋_GB2312" w:eastAsia="仿宋_GB2312"/>
          <w:sz w:val="32"/>
          <w:szCs w:val="32"/>
        </w:rPr>
        <w:t>单位本年无此项经费</w:t>
      </w:r>
      <w:r>
        <w:rPr>
          <w:rFonts w:hint="eastAsia" w:ascii="仿宋_GB2312" w:eastAsia="仿宋_GB2312"/>
          <w:sz w:val="32"/>
          <w:szCs w:val="32"/>
          <w:lang w:val="zh-CN"/>
        </w:rPr>
        <w:t>。</w:t>
      </w:r>
    </w:p>
    <w:p w14:paraId="0D7457B2">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57963D75">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w:t>
      </w:r>
      <w:r>
        <w:rPr>
          <w:rFonts w:hint="eastAsia" w:ascii="仿宋_GB2312" w:eastAsia="仿宋_GB2312"/>
          <w:sz w:val="32"/>
          <w:szCs w:val="32"/>
        </w:rPr>
        <w:t>单位本年无此项经费</w:t>
      </w:r>
      <w:r>
        <w:rPr>
          <w:rFonts w:hint="eastAsia" w:ascii="仿宋_GB2312" w:eastAsia="仿宋_GB2312"/>
          <w:sz w:val="32"/>
          <w:szCs w:val="32"/>
          <w:lang w:val="zh-CN"/>
        </w:rPr>
        <w:t>。单位全年安排的因公出国（境）团组0个，因公出国（境）0人次。</w:t>
      </w:r>
    </w:p>
    <w:p w14:paraId="186F6280">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w:t>
      </w:r>
      <w:r>
        <w:rPr>
          <w:rFonts w:hint="eastAsia" w:ascii="仿宋_GB2312" w:eastAsia="仿宋_GB2312"/>
          <w:sz w:val="32"/>
          <w:szCs w:val="32"/>
        </w:rPr>
        <w:t>单位本年无此项经费</w:t>
      </w:r>
      <w:r>
        <w:rPr>
          <w:rFonts w:hint="eastAsia" w:ascii="仿宋_GB2312" w:eastAsia="仿宋_GB2312"/>
          <w:sz w:val="32"/>
          <w:szCs w:val="32"/>
          <w:lang w:val="zh-CN"/>
        </w:rPr>
        <w:t>。公务用车购置数0辆，公务用车保有量0辆。国有资产占用情况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0辆，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w:t>
      </w:r>
      <w:r>
        <w:rPr>
          <w:rFonts w:hint="eastAsia" w:ascii="仿宋_GB2312" w:eastAsia="仿宋_GB2312"/>
          <w:sz w:val="32"/>
          <w:szCs w:val="32"/>
        </w:rPr>
        <w:t>本单位固定资产车辆与公务用车保有量一致无差异</w:t>
      </w:r>
      <w:r>
        <w:rPr>
          <w:rFonts w:hint="eastAsia" w:ascii="仿宋_GB2312" w:eastAsia="仿宋_GB2312"/>
          <w:sz w:val="32"/>
          <w:szCs w:val="32"/>
          <w:lang w:val="zh-CN"/>
        </w:rPr>
        <w:t>。</w:t>
      </w:r>
    </w:p>
    <w:p w14:paraId="0E57CB7C">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w:t>
      </w:r>
      <w:r>
        <w:rPr>
          <w:rFonts w:hint="eastAsia" w:ascii="仿宋_GB2312" w:eastAsia="仿宋_GB2312"/>
          <w:sz w:val="32"/>
          <w:szCs w:val="32"/>
        </w:rPr>
        <w:t>单位本年无此项经费</w:t>
      </w:r>
      <w:r>
        <w:rPr>
          <w:rFonts w:hint="eastAsia" w:ascii="仿宋_GB2312" w:eastAsia="仿宋_GB2312"/>
          <w:sz w:val="32"/>
          <w:szCs w:val="32"/>
          <w:lang w:val="zh-CN"/>
        </w:rPr>
        <w:t>。单位全年安排的国内公务接待0批次，0人次。</w:t>
      </w:r>
    </w:p>
    <w:p w14:paraId="744D50F8">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单位本年无此项经费</w:t>
      </w:r>
      <w:r>
        <w:rPr>
          <w:rFonts w:hint="eastAsia" w:ascii="仿宋_GB2312" w:eastAsia="仿宋_GB2312"/>
          <w:sz w:val="32"/>
          <w:szCs w:val="32"/>
          <w:lang w:val="zh-CN"/>
        </w:rPr>
        <w:t>。其中：因公出国（境）费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w:t>
      </w:r>
      <w:r>
        <w:rPr>
          <w:rFonts w:hint="eastAsia" w:ascii="仿宋_GB2312" w:eastAsia="仿宋_GB2312"/>
          <w:sz w:val="32"/>
          <w:szCs w:val="32"/>
        </w:rPr>
        <w:t>单位本年无此项经费</w:t>
      </w:r>
      <w:r>
        <w:rPr>
          <w:rFonts w:hint="eastAsia" w:ascii="仿宋_GB2312" w:eastAsia="仿宋_GB2312"/>
          <w:sz w:val="32"/>
          <w:szCs w:val="32"/>
          <w:lang w:val="zh-CN"/>
        </w:rPr>
        <w:t>；公务用车购置费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单位本年无此项经费</w:t>
      </w:r>
      <w:r>
        <w:rPr>
          <w:rFonts w:hint="eastAsia" w:ascii="仿宋_GB2312" w:eastAsia="仿宋_GB2312"/>
          <w:sz w:val="32"/>
          <w:szCs w:val="32"/>
          <w:lang w:val="zh-CN"/>
        </w:rPr>
        <w:t>；公务用车运行费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单位本年无此项经费</w:t>
      </w:r>
      <w:r>
        <w:rPr>
          <w:rFonts w:hint="eastAsia" w:ascii="仿宋_GB2312" w:eastAsia="仿宋_GB2312"/>
          <w:sz w:val="32"/>
          <w:szCs w:val="32"/>
          <w:lang w:val="zh-CN"/>
        </w:rPr>
        <w:t>；公务接待费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单位本年无此项经费</w:t>
      </w:r>
      <w:r>
        <w:rPr>
          <w:rFonts w:hint="eastAsia" w:ascii="仿宋_GB2312" w:eastAsia="仿宋_GB2312"/>
          <w:sz w:val="32"/>
          <w:szCs w:val="32"/>
          <w:lang w:val="zh-CN"/>
        </w:rPr>
        <w:t>。</w:t>
      </w:r>
    </w:p>
    <w:p w14:paraId="7620C547">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14:paraId="101CF2B0">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45BC79E2">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5F39193B">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75796780">
      <w:pPr>
        <w:ind w:firstLine="640" w:firstLineChars="200"/>
        <w:jc w:val="left"/>
        <w:outlineLvl w:val="1"/>
        <w:rPr>
          <w:rFonts w:hint="eastAsia"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14:paraId="3CD12C29">
      <w:pPr>
        <w:ind w:firstLine="640" w:firstLineChars="200"/>
        <w:jc w:val="left"/>
        <w:outlineLvl w:val="2"/>
        <w:rPr>
          <w:rFonts w:hint="eastAsia"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14:paraId="3D461DB8">
      <w:pPr>
        <w:ind w:firstLine="640" w:firstLineChars="200"/>
        <w:jc w:val="left"/>
        <w:rPr>
          <w:rFonts w:ascii="仿宋_GB2312" w:eastAsia="仿宋_GB2312"/>
          <w:sz w:val="32"/>
          <w:szCs w:val="32"/>
        </w:rPr>
      </w:pPr>
      <w:bookmarkStart w:id="24" w:name="_Toc227"/>
      <w:bookmarkStart w:id="25" w:name="_Toc26704"/>
      <w:r>
        <w:rPr>
          <w:rFonts w:hint="eastAsia" w:ascii="仿宋_GB2312" w:eastAsia="仿宋_GB2312"/>
          <w:sz w:val="32"/>
          <w:szCs w:val="32"/>
          <w:lang w:val="zh-CN"/>
        </w:rPr>
        <w:t>2023年度</w:t>
      </w:r>
      <w:r>
        <w:rPr>
          <w:rFonts w:hint="eastAsia" w:ascii="仿宋_GB2312" w:eastAsia="仿宋_GB2312"/>
          <w:sz w:val="32"/>
          <w:szCs w:val="32"/>
        </w:rPr>
        <w:t>木垒哈萨克自治县博斯坦乡中心学校（事业单位）公用经费支出16.04万元，</w:t>
      </w:r>
      <w:r>
        <w:rPr>
          <w:rFonts w:hint="eastAsia" w:ascii="仿宋_GB2312" w:eastAsia="仿宋_GB2312"/>
          <w:sz w:val="32"/>
          <w:szCs w:val="32"/>
          <w:lang w:val="zh-CN"/>
        </w:rPr>
        <w:t>比上年增加12.03万元，增长300.00%，主要原因是：</w:t>
      </w:r>
      <w:r>
        <w:rPr>
          <w:rFonts w:hint="eastAsia" w:ascii="仿宋_GB2312" w:eastAsia="仿宋_GB2312"/>
          <w:sz w:val="32"/>
          <w:szCs w:val="32"/>
        </w:rPr>
        <w:t>单位本年电费、取暖费较上年增加。</w:t>
      </w:r>
    </w:p>
    <w:p w14:paraId="6E5D85F1">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4C5CC324">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2023年度政府采购支出总额0.00万元，其中：政府采购货物支出0.00万元、政府采购工程支出0.00万元、政府采购服务支出0.00万元。</w:t>
      </w:r>
    </w:p>
    <w:p w14:paraId="167CF2BF">
      <w:pPr>
        <w:ind w:firstLine="640" w:firstLineChars="200"/>
        <w:jc w:val="left"/>
        <w:rPr>
          <w:rFonts w:ascii="仿宋_GB2312" w:eastAsia="仿宋_GB2312"/>
          <w:sz w:val="32"/>
          <w:szCs w:val="32"/>
        </w:rPr>
      </w:pPr>
      <w:r>
        <w:rPr>
          <w:rFonts w:hint="eastAsia" w:ascii="仿宋_GB2312" w:eastAsia="仿宋_GB2312"/>
          <w:sz w:val="32"/>
          <w:szCs w:val="32"/>
          <w:lang w:val="zh-CN"/>
        </w:rPr>
        <w:t>授予中小企业合同金额0.00万元，占政府采购支出总额的0.00</w:t>
      </w:r>
      <w:r>
        <w:rPr>
          <w:rFonts w:ascii="仿宋_GB2312" w:eastAsia="仿宋_GB2312"/>
          <w:sz w:val="32"/>
          <w:szCs w:val="32"/>
          <w:lang w:val="zh-CN"/>
        </w:rPr>
        <w:t>%</w:t>
      </w:r>
      <w:r>
        <w:rPr>
          <w:rFonts w:hint="eastAsia" w:ascii="仿宋_GB2312" w:eastAsia="仿宋_GB2312"/>
          <w:sz w:val="32"/>
          <w:szCs w:val="32"/>
          <w:lang w:val="zh-CN"/>
        </w:rPr>
        <w:t>，其中：授予小微企业合同金额0.00万元，占政府采购支出总额的0.00</w:t>
      </w:r>
      <w:r>
        <w:rPr>
          <w:rFonts w:ascii="仿宋_GB2312" w:eastAsia="仿宋_GB2312"/>
          <w:sz w:val="32"/>
          <w:szCs w:val="32"/>
          <w:lang w:val="zh-CN"/>
        </w:rPr>
        <w:t>%</w:t>
      </w:r>
      <w:r>
        <w:rPr>
          <w:rFonts w:hint="eastAsia" w:ascii="仿宋_GB2312" w:eastAsia="仿宋_GB2312"/>
          <w:sz w:val="32"/>
          <w:szCs w:val="32"/>
        </w:rPr>
        <w:t>。</w:t>
      </w:r>
    </w:p>
    <w:p w14:paraId="11278A8B">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14:paraId="076102AA">
      <w:pPr>
        <w:ind w:firstLine="640" w:firstLineChars="200"/>
        <w:jc w:val="left"/>
        <w:rPr>
          <w:rFonts w:ascii="仿宋_GB2312" w:eastAsia="仿宋_GB2312"/>
          <w:sz w:val="32"/>
          <w:szCs w:val="32"/>
          <w:lang w:val="zh-CN"/>
        </w:rPr>
      </w:pPr>
      <w:r>
        <w:rPr>
          <w:rFonts w:hint="eastAsia" w:ascii="仿宋_GB2312" w:eastAsia="仿宋_GB2312"/>
          <w:sz w:val="32"/>
          <w:szCs w:val="32"/>
        </w:rPr>
        <w:t>截至2023</w:t>
      </w:r>
      <w:r>
        <w:rPr>
          <w:rFonts w:hint="eastAsia" w:ascii="仿宋_GB2312" w:eastAsia="仿宋_GB2312"/>
          <w:sz w:val="32"/>
          <w:szCs w:val="32"/>
          <w:lang w:val="zh-CN"/>
        </w:rPr>
        <w:t>年</w:t>
      </w:r>
      <w:r>
        <w:rPr>
          <w:rFonts w:hint="eastAsia" w:ascii="仿宋_GB2312" w:eastAsia="仿宋_GB2312"/>
          <w:sz w:val="32"/>
          <w:szCs w:val="32"/>
        </w:rPr>
        <w:t>12月31日</w:t>
      </w:r>
      <w:r>
        <w:rPr>
          <w:rFonts w:hint="eastAsia" w:ascii="仿宋_GB2312" w:eastAsia="仿宋_GB2312"/>
          <w:sz w:val="32"/>
          <w:szCs w:val="32"/>
          <w:lang w:val="zh-CN"/>
        </w:rPr>
        <w:t>，</w:t>
      </w:r>
      <w:r>
        <w:rPr>
          <w:rFonts w:hint="eastAsia" w:ascii="仿宋_GB2312" w:eastAsia="仿宋_GB2312"/>
          <w:sz w:val="32"/>
          <w:szCs w:val="32"/>
        </w:rPr>
        <w:t>固定资产原值</w:t>
      </w:r>
      <w:r>
        <w:rPr>
          <w:rFonts w:hint="eastAsia" w:ascii="仿宋_GB2312" w:eastAsia="仿宋_GB2312"/>
          <w:sz w:val="32"/>
          <w:szCs w:val="32"/>
          <w:lang w:val="zh-CN"/>
        </w:rPr>
        <w:t>1</w:t>
      </w:r>
      <w:r>
        <w:rPr>
          <w:rFonts w:hint="eastAsia" w:ascii="仿宋_GB2312" w:eastAsia="仿宋_GB2312"/>
          <w:sz w:val="32"/>
          <w:szCs w:val="32"/>
        </w:rPr>
        <w:t>,</w:t>
      </w:r>
      <w:r>
        <w:rPr>
          <w:rFonts w:hint="eastAsia" w:ascii="仿宋_GB2312" w:eastAsia="仿宋_GB2312"/>
          <w:sz w:val="32"/>
          <w:szCs w:val="32"/>
          <w:lang w:val="zh-CN"/>
        </w:rPr>
        <w:t>452.37</w:t>
      </w:r>
      <w:r>
        <w:rPr>
          <w:rFonts w:hint="eastAsia" w:ascii="仿宋_GB2312" w:eastAsia="仿宋_GB2312"/>
          <w:sz w:val="32"/>
          <w:szCs w:val="32"/>
        </w:rPr>
        <w:t>万元，房</w:t>
      </w:r>
      <w:r>
        <w:rPr>
          <w:rFonts w:hint="eastAsia" w:ascii="仿宋_GB2312" w:eastAsia="仿宋_GB2312"/>
          <w:sz w:val="32"/>
          <w:szCs w:val="32"/>
          <w:lang w:val="zh-CN"/>
        </w:rPr>
        <w:t>屋8</w:t>
      </w:r>
      <w:r>
        <w:rPr>
          <w:rFonts w:hint="eastAsia" w:ascii="仿宋_GB2312" w:eastAsia="仿宋_GB2312"/>
          <w:sz w:val="32"/>
          <w:szCs w:val="32"/>
        </w:rPr>
        <w:t>,</w:t>
      </w:r>
      <w:r>
        <w:rPr>
          <w:rFonts w:hint="eastAsia" w:ascii="仿宋_GB2312" w:eastAsia="仿宋_GB2312"/>
          <w:sz w:val="32"/>
          <w:szCs w:val="32"/>
          <w:lang w:val="zh-CN"/>
        </w:rPr>
        <w:t>518.73平方米，价值1,088.96万元。车辆0辆，价值0.00万元，其中：副部（省）级及以上领导用车0辆、主要</w:t>
      </w:r>
      <w:r>
        <w:rPr>
          <w:rFonts w:hint="eastAsia" w:ascii="仿宋_GB2312" w:eastAsia="仿宋_GB2312"/>
          <w:sz w:val="32"/>
          <w:szCs w:val="32"/>
        </w:rPr>
        <w:t>负责人</w:t>
      </w:r>
      <w:r>
        <w:rPr>
          <w:rFonts w:hint="eastAsia" w:ascii="仿宋_GB2312" w:eastAsia="仿宋_GB2312"/>
          <w:sz w:val="32"/>
          <w:szCs w:val="32"/>
          <w:lang w:val="zh-CN"/>
        </w:rPr>
        <w:t>用车0辆、机要通信用车0辆、应急保障用车0辆、执法执勤用车0辆、特种专业技术用车0辆、离退休干部</w:t>
      </w:r>
      <w:r>
        <w:rPr>
          <w:rFonts w:hint="eastAsia" w:ascii="仿宋_GB2312" w:eastAsia="仿宋_GB2312"/>
          <w:sz w:val="32"/>
          <w:szCs w:val="32"/>
        </w:rPr>
        <w:t>服务</w:t>
      </w:r>
      <w:r>
        <w:rPr>
          <w:rFonts w:hint="eastAsia" w:ascii="仿宋_GB2312" w:eastAsia="仿宋_GB2312"/>
          <w:sz w:val="32"/>
          <w:szCs w:val="32"/>
          <w:lang w:val="zh-CN"/>
        </w:rPr>
        <w:t>用车0辆、其他用车0辆，其他用车主要是：</w:t>
      </w:r>
      <w:r>
        <w:rPr>
          <w:rFonts w:hint="eastAsia" w:ascii="仿宋_GB2312" w:eastAsia="仿宋_GB2312"/>
          <w:sz w:val="32"/>
          <w:szCs w:val="32"/>
        </w:rPr>
        <w:t>单位无其他用车</w:t>
      </w:r>
      <w:r>
        <w:rPr>
          <w:rFonts w:hint="eastAsia" w:ascii="仿宋_GB2312" w:eastAsia="仿宋_GB2312"/>
          <w:sz w:val="32"/>
          <w:szCs w:val="32"/>
          <w:lang w:val="zh-CN"/>
        </w:rPr>
        <w:t>；单价100万元（含）以上设备（不含车辆）0</w:t>
      </w:r>
      <w:r>
        <w:rPr>
          <w:rFonts w:hint="eastAsia" w:ascii="仿宋_GB2312" w:eastAsia="仿宋_GB2312"/>
          <w:sz w:val="32"/>
          <w:szCs w:val="32"/>
        </w:rPr>
        <w:t>台（</w:t>
      </w:r>
      <w:r>
        <w:rPr>
          <w:rFonts w:hint="eastAsia" w:ascii="仿宋_GB2312" w:eastAsia="仿宋_GB2312"/>
          <w:sz w:val="32"/>
          <w:szCs w:val="32"/>
          <w:lang w:val="zh-CN"/>
        </w:rPr>
        <w:t>套）。</w:t>
      </w:r>
    </w:p>
    <w:p w14:paraId="6CE76CEA">
      <w:pPr>
        <w:ind w:firstLine="640" w:firstLineChars="200"/>
        <w:jc w:val="left"/>
        <w:outlineLvl w:val="1"/>
        <w:rPr>
          <w:rFonts w:hint="eastAsia"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14:paraId="2D9F5A37">
      <w:pPr>
        <w:ind w:firstLine="640" w:firstLineChars="200"/>
        <w:jc w:val="left"/>
        <w:rPr>
          <w:rFonts w:hint="eastAsia" w:ascii="仿宋_GB2312" w:hAnsi="仿宋_GB2312" w:eastAsia="仿宋_GB2312" w:cs="仿宋_GB2312"/>
          <w:kern w:val="0"/>
          <w:sz w:val="32"/>
          <w:szCs w:val="32"/>
          <w:lang w:eastAsia="zh-Hans"/>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预算总额1,806.54万元，实际执行总额1,806.54万元；预算绩效评价项目0个，全年预算数0.00万元，全年执行数0.00万元。预算绩效管理取得的成效：一是</w:t>
      </w:r>
      <w:r>
        <w:rPr>
          <w:rFonts w:hint="eastAsia" w:ascii="仿宋_GB2312" w:hAnsi="宋体" w:eastAsia="仿宋_GB2312"/>
          <w:bCs/>
          <w:sz w:val="32"/>
          <w:szCs w:val="32"/>
        </w:rPr>
        <w:t>我单位努力做好财政预算收入、支出以及各项目的管理工作，将预算及时公开到相关的信息网络平台，并在执行过程中积极对执行情况进行监控，对预算的资金进行全方位的监督和管理，使每一笔资金都能起到最大的使用效益</w:t>
      </w:r>
      <w:r>
        <w:rPr>
          <w:rFonts w:hint="eastAsia" w:ascii="仿宋_GB2312" w:eastAsia="仿宋_GB2312"/>
          <w:sz w:val="32"/>
          <w:szCs w:val="32"/>
        </w:rPr>
        <w:t>；二是</w:t>
      </w:r>
      <w:r>
        <w:rPr>
          <w:rFonts w:hint="eastAsia" w:ascii="仿宋_GB2312" w:hAnsi="宋体" w:eastAsia="仿宋_GB2312"/>
          <w:bCs/>
          <w:sz w:val="32"/>
          <w:szCs w:val="32"/>
        </w:rPr>
        <w:t>结合我校实际情合理分配资金，以达到合理高效地运用资金、提升资金的产出效果、节约成本与资源、提高部门的办事效率的目的</w:t>
      </w:r>
      <w:r>
        <w:rPr>
          <w:rFonts w:hint="eastAsia" w:ascii="仿宋_GB2312" w:eastAsia="仿宋_GB2312"/>
          <w:sz w:val="32"/>
          <w:szCs w:val="32"/>
        </w:rPr>
        <w:t>。发现的问题及原因：一是</w:t>
      </w:r>
      <w:r>
        <w:rPr>
          <w:rFonts w:hint="eastAsia" w:ascii="仿宋_GB2312" w:hAnsi="宋体" w:eastAsia="仿宋_GB2312"/>
          <w:bCs/>
          <w:sz w:val="32"/>
          <w:szCs w:val="32"/>
        </w:rPr>
        <w:t>未健全公务卡强制结算目录，发生的差旅费、培训费等经费支出，除按规定实行财政直接支付或者银行转账外，应当使用公务卡结算，而不能通过个人银行卡进行核算和报销</w:t>
      </w:r>
      <w:r>
        <w:rPr>
          <w:rFonts w:hint="eastAsia" w:ascii="仿宋_GB2312" w:eastAsia="仿宋_GB2312"/>
          <w:sz w:val="32"/>
          <w:szCs w:val="32"/>
        </w:rPr>
        <w:t>；二是</w:t>
      </w:r>
      <w:r>
        <w:rPr>
          <w:rFonts w:hint="eastAsia" w:ascii="仿宋_GB2312" w:hAnsi="宋体" w:eastAsia="仿宋_GB2312"/>
          <w:bCs/>
          <w:sz w:val="32"/>
          <w:szCs w:val="32"/>
        </w:rPr>
        <w:t>未定期或者不定期对资产进行盘点、对账。出现资产盘盈盘亏，报废的因各种原因未及时做资产减少，出现账实不符和账账不符的现象</w:t>
      </w:r>
      <w:r>
        <w:rPr>
          <w:rFonts w:hint="eastAsia" w:ascii="仿宋_GB2312" w:eastAsia="仿宋_GB2312"/>
          <w:sz w:val="32"/>
          <w:szCs w:val="32"/>
        </w:rPr>
        <w:t>。下一步改进措施：一是</w:t>
      </w:r>
      <w:r>
        <w:rPr>
          <w:rFonts w:hint="eastAsia" w:ascii="仿宋_GB2312" w:hAnsi="宋体" w:eastAsia="仿宋_GB2312"/>
          <w:bCs/>
          <w:sz w:val="32"/>
          <w:szCs w:val="32"/>
        </w:rPr>
        <w:t>加强财务管理，严把财务审批，加强单位财务管理，健全单位财务管理制度，规范财务行为，把制度落到实处</w:t>
      </w:r>
      <w:r>
        <w:rPr>
          <w:rFonts w:hint="eastAsia" w:ascii="仿宋_GB2312" w:eastAsia="仿宋_GB2312"/>
          <w:sz w:val="32"/>
          <w:szCs w:val="32"/>
        </w:rPr>
        <w:t>；二是</w:t>
      </w:r>
      <w:r>
        <w:rPr>
          <w:rFonts w:hint="eastAsia" w:ascii="仿宋_GB2312" w:hAnsi="宋体" w:eastAsia="仿宋_GB2312"/>
          <w:bCs/>
          <w:sz w:val="32"/>
          <w:szCs w:val="32"/>
        </w:rPr>
        <w:t>资产管理要对资产从取得到退出的全过程实施动态管理；应当定期或者不定期对资产进行盘点、对账应当按照财务、会计和资产管理制度有关规定处理。</w:t>
      </w:r>
      <w:r>
        <w:rPr>
          <w:rFonts w:hint="eastAsia" w:ascii="仿宋_GB2312" w:eastAsia="仿宋_GB2312"/>
          <w:sz w:val="32"/>
          <w:szCs w:val="32"/>
        </w:rPr>
        <w:t>具体项目自评情况附绩效自评表及自评报告。</w:t>
      </w:r>
    </w:p>
    <w:tbl>
      <w:tblPr>
        <w:tblStyle w:val="9"/>
        <w:tblW w:w="5130" w:type="pct"/>
        <w:jc w:val="center"/>
        <w:tblLayout w:type="fixed"/>
        <w:tblCellMar>
          <w:top w:w="0" w:type="dxa"/>
          <w:left w:w="108" w:type="dxa"/>
          <w:bottom w:w="0" w:type="dxa"/>
          <w:right w:w="108" w:type="dxa"/>
        </w:tblCellMar>
      </w:tblPr>
      <w:tblGrid>
        <w:gridCol w:w="1812"/>
        <w:gridCol w:w="1107"/>
        <w:gridCol w:w="1173"/>
        <w:gridCol w:w="1044"/>
        <w:gridCol w:w="1152"/>
        <w:gridCol w:w="654"/>
        <w:gridCol w:w="899"/>
        <w:gridCol w:w="903"/>
      </w:tblGrid>
      <w:tr w14:paraId="79114D3A">
        <w:trPr>
          <w:trHeight w:val="522" w:hRule="atLeast"/>
          <w:jc w:val="center"/>
        </w:trPr>
        <w:tc>
          <w:tcPr>
            <w:tcW w:w="8744"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7939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部门（单位）整体支出绩效目标自评表</w:t>
            </w:r>
          </w:p>
        </w:tc>
      </w:tr>
      <w:tr w14:paraId="15F52686">
        <w:tblPrEx>
          <w:tblCellMar>
            <w:top w:w="0" w:type="dxa"/>
            <w:left w:w="108" w:type="dxa"/>
            <w:bottom w:w="0" w:type="dxa"/>
            <w:right w:w="108" w:type="dxa"/>
          </w:tblCellMar>
        </w:tblPrEx>
        <w:trPr>
          <w:trHeight w:val="360" w:hRule="atLeast"/>
          <w:jc w:val="center"/>
        </w:trPr>
        <w:tc>
          <w:tcPr>
            <w:tcW w:w="8744"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312D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（2023年度）</w:t>
            </w:r>
          </w:p>
        </w:tc>
      </w:tr>
      <w:tr w14:paraId="4D230373">
        <w:tblPrEx>
          <w:tblCellMar>
            <w:top w:w="0" w:type="dxa"/>
            <w:left w:w="108" w:type="dxa"/>
            <w:bottom w:w="0" w:type="dxa"/>
            <w:right w:w="108" w:type="dxa"/>
          </w:tblCellMar>
        </w:tblPrEx>
        <w:trPr>
          <w:trHeight w:val="660" w:hRule="atLeast"/>
          <w:jc w:val="center"/>
        </w:trPr>
        <w:tc>
          <w:tcPr>
            <w:tcW w:w="18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6FDB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部门（单位）名称</w:t>
            </w:r>
          </w:p>
        </w:tc>
        <w:tc>
          <w:tcPr>
            <w:tcW w:w="6932"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AE09E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木垒哈萨克自治县博斯坦乡中心学校</w:t>
            </w:r>
          </w:p>
        </w:tc>
      </w:tr>
      <w:tr w14:paraId="3BB81ACD">
        <w:tblPrEx>
          <w:tblCellMar>
            <w:top w:w="0" w:type="dxa"/>
            <w:left w:w="108" w:type="dxa"/>
            <w:bottom w:w="0" w:type="dxa"/>
            <w:right w:w="108" w:type="dxa"/>
          </w:tblCellMar>
        </w:tblPrEx>
        <w:trPr>
          <w:trHeight w:val="570" w:hRule="atLeast"/>
          <w:jc w:val="center"/>
        </w:trPr>
        <w:tc>
          <w:tcPr>
            <w:tcW w:w="18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FDEDD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部门资金（万元）</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EC7C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资金来源</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AC2E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年初预算数</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552F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全年预算数</w:t>
            </w:r>
          </w:p>
        </w:tc>
        <w:tc>
          <w:tcPr>
            <w:tcW w:w="11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F2BA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全年执行数</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1038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分值权重</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B452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执行率</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2378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r>
      <w:tr w14:paraId="2F30CDEE">
        <w:tblPrEx>
          <w:tblCellMar>
            <w:top w:w="0" w:type="dxa"/>
            <w:left w:w="108" w:type="dxa"/>
            <w:bottom w:w="0" w:type="dxa"/>
            <w:right w:w="108" w:type="dxa"/>
          </w:tblCellMar>
        </w:tblPrEx>
        <w:trPr>
          <w:trHeight w:val="880" w:hRule="atLeast"/>
          <w:jc w:val="center"/>
        </w:trPr>
        <w:tc>
          <w:tcPr>
            <w:tcW w:w="18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E34C83">
            <w:pPr>
              <w:jc w:val="center"/>
              <w:rPr>
                <w:rFonts w:hint="eastAsia" w:ascii="宋体" w:hAnsi="宋体" w:cs="宋体"/>
                <w:color w:val="000000"/>
                <w:sz w:val="20"/>
                <w:szCs w:val="20"/>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9FA0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中央安排</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AAC2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27.59</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D487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31.81</w:t>
            </w:r>
          </w:p>
        </w:tc>
        <w:tc>
          <w:tcPr>
            <w:tcW w:w="11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35B5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31.81</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1D12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F929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A8F6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7230D940">
        <w:tblPrEx>
          <w:tblCellMar>
            <w:top w:w="0" w:type="dxa"/>
            <w:left w:w="108" w:type="dxa"/>
            <w:bottom w:w="0" w:type="dxa"/>
            <w:right w:w="108" w:type="dxa"/>
          </w:tblCellMar>
        </w:tblPrEx>
        <w:trPr>
          <w:trHeight w:val="880" w:hRule="atLeast"/>
          <w:jc w:val="center"/>
        </w:trPr>
        <w:tc>
          <w:tcPr>
            <w:tcW w:w="18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DCFAAF">
            <w:pPr>
              <w:jc w:val="center"/>
              <w:rPr>
                <w:rFonts w:hint="eastAsia" w:ascii="宋体" w:hAnsi="宋体" w:cs="宋体"/>
                <w:color w:val="000000"/>
                <w:sz w:val="20"/>
                <w:szCs w:val="20"/>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0169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自治区安排</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7F2E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14.01</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E779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41.98</w:t>
            </w:r>
          </w:p>
        </w:tc>
        <w:tc>
          <w:tcPr>
            <w:tcW w:w="11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CAB5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41.98</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1F51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3575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0076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652D1B82">
        <w:tblPrEx>
          <w:tblCellMar>
            <w:top w:w="0" w:type="dxa"/>
            <w:left w:w="108" w:type="dxa"/>
            <w:bottom w:w="0" w:type="dxa"/>
            <w:right w:w="108" w:type="dxa"/>
          </w:tblCellMar>
        </w:tblPrEx>
        <w:trPr>
          <w:trHeight w:val="880" w:hRule="atLeast"/>
          <w:jc w:val="center"/>
        </w:trPr>
        <w:tc>
          <w:tcPr>
            <w:tcW w:w="18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229D9F">
            <w:pPr>
              <w:jc w:val="center"/>
              <w:rPr>
                <w:rFonts w:hint="eastAsia" w:ascii="宋体" w:hAnsi="宋体" w:cs="宋体"/>
                <w:color w:val="000000"/>
                <w:sz w:val="20"/>
                <w:szCs w:val="20"/>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E268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地（州、市）安排</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0CFC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70AC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11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E49E5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8F55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1E78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FE45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18732364">
        <w:tblPrEx>
          <w:tblCellMar>
            <w:top w:w="0" w:type="dxa"/>
            <w:left w:w="108" w:type="dxa"/>
            <w:bottom w:w="0" w:type="dxa"/>
            <w:right w:w="108" w:type="dxa"/>
          </w:tblCellMar>
        </w:tblPrEx>
        <w:trPr>
          <w:trHeight w:val="880" w:hRule="atLeast"/>
          <w:jc w:val="center"/>
        </w:trPr>
        <w:tc>
          <w:tcPr>
            <w:tcW w:w="18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3E8FFE">
            <w:pPr>
              <w:jc w:val="center"/>
              <w:rPr>
                <w:rFonts w:hint="eastAsia" w:ascii="宋体" w:hAnsi="宋体" w:cs="宋体"/>
                <w:color w:val="000000"/>
                <w:sz w:val="20"/>
                <w:szCs w:val="20"/>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5C6C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县（市、区）安排</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B93A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1,676.42</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5A51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1,725.80</w:t>
            </w:r>
          </w:p>
        </w:tc>
        <w:tc>
          <w:tcPr>
            <w:tcW w:w="11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E008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1,725.80</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7D6E2">
            <w:pPr>
              <w:jc w:val="center"/>
              <w:rPr>
                <w:rFonts w:hint="eastAsia" w:ascii="宋体" w:hAnsi="宋体" w:cs="宋体"/>
                <w:color w:val="000000"/>
                <w:sz w:val="20"/>
                <w:szCs w:val="20"/>
              </w:rPr>
            </w:pPr>
            <w:r>
              <w:rPr>
                <w:rFonts w:hint="eastAsia"/>
              </w:rPr>
              <w:t>-</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71FF0">
            <w:pPr>
              <w:jc w:val="center"/>
              <w:rPr>
                <w:rFonts w:hint="eastAsia" w:ascii="宋体" w:hAnsi="宋体" w:cs="宋体"/>
                <w:color w:val="000000"/>
                <w:sz w:val="20"/>
                <w:szCs w:val="20"/>
              </w:rPr>
            </w:pPr>
            <w:r>
              <w:rPr>
                <w:rFonts w:hint="eastAsia"/>
              </w:rPr>
              <w:t>-</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BAE75">
            <w:pPr>
              <w:jc w:val="center"/>
              <w:rPr>
                <w:rFonts w:hint="eastAsia" w:ascii="宋体" w:hAnsi="宋体" w:cs="宋体"/>
                <w:color w:val="000000"/>
                <w:sz w:val="20"/>
                <w:szCs w:val="20"/>
              </w:rPr>
            </w:pPr>
            <w:r>
              <w:rPr>
                <w:rFonts w:hint="eastAsia"/>
              </w:rPr>
              <w:t>-</w:t>
            </w:r>
          </w:p>
        </w:tc>
      </w:tr>
      <w:tr w14:paraId="5C346710">
        <w:tblPrEx>
          <w:tblCellMar>
            <w:top w:w="0" w:type="dxa"/>
            <w:left w:w="108" w:type="dxa"/>
            <w:bottom w:w="0" w:type="dxa"/>
            <w:right w:w="108" w:type="dxa"/>
          </w:tblCellMar>
        </w:tblPrEx>
        <w:trPr>
          <w:trHeight w:val="880" w:hRule="atLeast"/>
          <w:jc w:val="center"/>
        </w:trPr>
        <w:tc>
          <w:tcPr>
            <w:tcW w:w="18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8E7338">
            <w:pPr>
              <w:jc w:val="center"/>
              <w:rPr>
                <w:rFonts w:hint="eastAsia" w:ascii="宋体" w:hAnsi="宋体" w:cs="宋体"/>
                <w:color w:val="000000"/>
                <w:sz w:val="20"/>
                <w:szCs w:val="20"/>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040B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03AA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5E1E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6.95</w:t>
            </w:r>
          </w:p>
        </w:tc>
        <w:tc>
          <w:tcPr>
            <w:tcW w:w="11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991D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6.95</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09A11">
            <w:pPr>
              <w:jc w:val="center"/>
              <w:rPr>
                <w:rFonts w:hint="eastAsia" w:ascii="宋体" w:hAnsi="宋体" w:cs="宋体"/>
                <w:color w:val="000000"/>
                <w:sz w:val="20"/>
                <w:szCs w:val="20"/>
              </w:rPr>
            </w:pPr>
            <w:r>
              <w:rPr>
                <w:rFonts w:hint="eastAsia"/>
              </w:rPr>
              <w:t>-</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5790A">
            <w:pPr>
              <w:jc w:val="center"/>
              <w:rPr>
                <w:rFonts w:hint="eastAsia" w:ascii="宋体" w:hAnsi="宋体" w:cs="宋体"/>
                <w:color w:val="000000"/>
                <w:sz w:val="20"/>
                <w:szCs w:val="20"/>
              </w:rPr>
            </w:pPr>
            <w:r>
              <w:rPr>
                <w:rFonts w:hint="eastAsia"/>
              </w:rPr>
              <w:t>-</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1D53C1">
            <w:pPr>
              <w:jc w:val="center"/>
              <w:rPr>
                <w:rFonts w:hint="eastAsia" w:ascii="宋体" w:hAnsi="宋体" w:cs="宋体"/>
                <w:color w:val="000000"/>
                <w:sz w:val="20"/>
                <w:szCs w:val="20"/>
              </w:rPr>
            </w:pPr>
            <w:r>
              <w:rPr>
                <w:rFonts w:hint="eastAsia"/>
              </w:rPr>
              <w:t>-</w:t>
            </w:r>
          </w:p>
        </w:tc>
      </w:tr>
      <w:tr w14:paraId="24EA624E">
        <w:tblPrEx>
          <w:tblCellMar>
            <w:top w:w="0" w:type="dxa"/>
            <w:left w:w="108" w:type="dxa"/>
            <w:bottom w:w="0" w:type="dxa"/>
            <w:right w:w="108" w:type="dxa"/>
          </w:tblCellMar>
        </w:tblPrEx>
        <w:trPr>
          <w:trHeight w:val="880" w:hRule="atLeast"/>
          <w:jc w:val="center"/>
        </w:trPr>
        <w:tc>
          <w:tcPr>
            <w:tcW w:w="18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28CC01">
            <w:pPr>
              <w:jc w:val="center"/>
              <w:rPr>
                <w:rFonts w:hint="eastAsia" w:ascii="宋体" w:hAnsi="宋体" w:cs="宋体"/>
                <w:color w:val="000000"/>
                <w:sz w:val="20"/>
                <w:szCs w:val="20"/>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9CEE7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合计</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6C9D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1,718.02</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8329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1,806.54</w:t>
            </w:r>
          </w:p>
        </w:tc>
        <w:tc>
          <w:tcPr>
            <w:tcW w:w="11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3842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1,806.54</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E7F5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9F0F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AD13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246DDB0C">
        <w:tblPrEx>
          <w:tblCellMar>
            <w:top w:w="0" w:type="dxa"/>
            <w:left w:w="108" w:type="dxa"/>
            <w:bottom w:w="0" w:type="dxa"/>
            <w:right w:w="108" w:type="dxa"/>
          </w:tblCellMar>
        </w:tblPrEx>
        <w:trPr>
          <w:trHeight w:val="705" w:hRule="atLeast"/>
          <w:jc w:val="center"/>
        </w:trPr>
        <w:tc>
          <w:tcPr>
            <w:tcW w:w="18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D2B1C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年度总体目标</w:t>
            </w:r>
          </w:p>
        </w:tc>
        <w:tc>
          <w:tcPr>
            <w:tcW w:w="332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274B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预期目标</w:t>
            </w:r>
          </w:p>
        </w:tc>
        <w:tc>
          <w:tcPr>
            <w:tcW w:w="360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16047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实际完成情况</w:t>
            </w:r>
          </w:p>
        </w:tc>
      </w:tr>
      <w:tr w14:paraId="3D1A1212">
        <w:tblPrEx>
          <w:tblCellMar>
            <w:top w:w="0" w:type="dxa"/>
            <w:left w:w="108" w:type="dxa"/>
            <w:bottom w:w="0" w:type="dxa"/>
            <w:right w:w="108" w:type="dxa"/>
          </w:tblCellMar>
        </w:tblPrEx>
        <w:trPr>
          <w:trHeight w:val="2000" w:hRule="atLeast"/>
          <w:jc w:val="center"/>
        </w:trPr>
        <w:tc>
          <w:tcPr>
            <w:tcW w:w="18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1E427B">
            <w:pPr>
              <w:jc w:val="center"/>
              <w:rPr>
                <w:rFonts w:hint="eastAsia" w:ascii="宋体" w:hAnsi="宋体" w:cs="宋体"/>
                <w:color w:val="000000"/>
                <w:sz w:val="20"/>
                <w:szCs w:val="20"/>
              </w:rPr>
            </w:pPr>
          </w:p>
        </w:tc>
        <w:tc>
          <w:tcPr>
            <w:tcW w:w="332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DDE9A9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目标1：宣传贯彻执行党和国家的教育方针、政策、法律法规等坚持依法执教、依法治学，贯彻执行县教育局的行政规章制度； </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 xml:space="preserve">目标2：组织开展本校的教育科学科研和教育教学改革，全力推进素质教育实施； </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目标3：按照义务教育课程计划，开齐课程，开足课时，认真实施小学的教育教学管理，全面推进素质教育，全面提高教育教学质量。</w:t>
            </w:r>
          </w:p>
        </w:tc>
        <w:tc>
          <w:tcPr>
            <w:tcW w:w="36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410B14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截止2023年部门整体自评，我单位已完成如下工作：保障办公人员数量90人，各类考试完成及时率100%，资助学生人数127人，开展教师培训数量3次，按照义务教育课程计划，开齐课程，开足课时，认真实施小学的教育教学管理，全面推进素质教育，全面提高教育教学质量。组织开展本校的教育科学科研和教育教学改革，全力推进素质教育实施；</w:t>
            </w:r>
          </w:p>
        </w:tc>
      </w:tr>
      <w:tr w14:paraId="3A7A8D4A">
        <w:tblPrEx>
          <w:tblCellMar>
            <w:top w:w="0" w:type="dxa"/>
            <w:left w:w="108" w:type="dxa"/>
            <w:bottom w:w="0" w:type="dxa"/>
            <w:right w:w="108" w:type="dxa"/>
          </w:tblCellMar>
        </w:tblPrEx>
        <w:trPr>
          <w:trHeight w:val="580" w:hRule="atLeast"/>
          <w:jc w:val="center"/>
        </w:trPr>
        <w:tc>
          <w:tcPr>
            <w:tcW w:w="18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6CCA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一级指标</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860F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二级指标</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38B1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三级指标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2CE8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预期指标值</w:t>
            </w:r>
          </w:p>
        </w:tc>
        <w:tc>
          <w:tcPr>
            <w:tcW w:w="11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910C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指标值设定依据</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89D2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分值权重</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892E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实际完成指标值</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06E6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r>
      <w:tr w14:paraId="3FBEDB57">
        <w:tblPrEx>
          <w:tblCellMar>
            <w:top w:w="0" w:type="dxa"/>
            <w:left w:w="108" w:type="dxa"/>
            <w:bottom w:w="0" w:type="dxa"/>
            <w:right w:w="108" w:type="dxa"/>
          </w:tblCellMar>
        </w:tblPrEx>
        <w:trPr>
          <w:trHeight w:val="740" w:hRule="atLeast"/>
          <w:jc w:val="center"/>
        </w:trPr>
        <w:tc>
          <w:tcPr>
            <w:tcW w:w="18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FF15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运行成本</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8321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6930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保障办公人员数量</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A96C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&gt;=90人</w:t>
            </w:r>
          </w:p>
        </w:tc>
        <w:tc>
          <w:tcPr>
            <w:tcW w:w="11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ABBC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木垒哈萨克自治县博斯坦中心学校机构改革方案</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47B9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18F3F">
            <w:pPr>
              <w:widowControl/>
              <w:jc w:val="center"/>
              <w:textAlignment w:val="center"/>
              <w:rPr>
                <w:rFonts w:ascii="Arial" w:hAnsi="Arial" w:cs="Arial"/>
                <w:color w:val="000000"/>
                <w:sz w:val="20"/>
                <w:szCs w:val="20"/>
              </w:rPr>
            </w:pPr>
            <w:r>
              <w:rPr>
                <w:rFonts w:ascii="Arial" w:hAnsi="Arial" w:cs="Arial"/>
                <w:color w:val="000000"/>
                <w:kern w:val="0"/>
                <w:sz w:val="20"/>
                <w:szCs w:val="20"/>
                <w:lang w:bidi="ar"/>
              </w:rPr>
              <w:t xml:space="preserve"> </w:t>
            </w:r>
            <w:r>
              <w:rPr>
                <w:rStyle w:val="15"/>
                <w:rFonts w:hint="default"/>
                <w:lang w:bidi="ar"/>
              </w:rPr>
              <w:t>90人</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B6DA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r>
      <w:tr w14:paraId="6D5FC3C4">
        <w:tblPrEx>
          <w:tblCellMar>
            <w:top w:w="0" w:type="dxa"/>
            <w:left w:w="108" w:type="dxa"/>
            <w:bottom w:w="0" w:type="dxa"/>
            <w:right w:w="108" w:type="dxa"/>
          </w:tblCellMar>
        </w:tblPrEx>
        <w:trPr>
          <w:trHeight w:val="740" w:hRule="atLeast"/>
          <w:jc w:val="center"/>
        </w:trPr>
        <w:tc>
          <w:tcPr>
            <w:tcW w:w="18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1A6D9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管理效率</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F55C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9D5E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各类考试完成及时率</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E6A9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&gt;=100%</w:t>
            </w:r>
          </w:p>
        </w:tc>
        <w:tc>
          <w:tcPr>
            <w:tcW w:w="11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4AF8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木垒哈萨克自治县博斯坦中心学校机构改革方案</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D05E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0E586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1699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r>
      <w:tr w14:paraId="2CB1E8DB">
        <w:tblPrEx>
          <w:tblCellMar>
            <w:top w:w="0" w:type="dxa"/>
            <w:left w:w="108" w:type="dxa"/>
            <w:bottom w:w="0" w:type="dxa"/>
            <w:right w:w="108" w:type="dxa"/>
          </w:tblCellMar>
        </w:tblPrEx>
        <w:trPr>
          <w:trHeight w:val="740" w:hRule="atLeast"/>
          <w:jc w:val="center"/>
        </w:trPr>
        <w:tc>
          <w:tcPr>
            <w:tcW w:w="18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740AC6">
            <w:pPr>
              <w:jc w:val="center"/>
              <w:rPr>
                <w:rFonts w:hint="eastAsia" w:ascii="宋体" w:hAnsi="宋体" w:cs="宋体"/>
                <w:color w:val="000000"/>
                <w:sz w:val="20"/>
                <w:szCs w:val="20"/>
              </w:rPr>
            </w:pPr>
          </w:p>
        </w:tc>
        <w:tc>
          <w:tcPr>
            <w:tcW w:w="11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564E4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753D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资助学生人数</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0544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&gt;=127人</w:t>
            </w:r>
          </w:p>
        </w:tc>
        <w:tc>
          <w:tcPr>
            <w:tcW w:w="11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9480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木垒哈萨克自治县博斯坦乡中心学校2023年工作计划</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DF35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F4F52">
            <w:pPr>
              <w:widowControl/>
              <w:jc w:val="center"/>
              <w:textAlignment w:val="center"/>
              <w:rPr>
                <w:rFonts w:ascii="Arial" w:hAnsi="Arial" w:cs="Arial"/>
                <w:color w:val="000000"/>
                <w:sz w:val="20"/>
                <w:szCs w:val="20"/>
              </w:rPr>
            </w:pPr>
            <w:r>
              <w:rPr>
                <w:rFonts w:ascii="Arial" w:hAnsi="Arial" w:cs="Arial"/>
                <w:color w:val="000000"/>
                <w:kern w:val="0"/>
                <w:sz w:val="20"/>
                <w:szCs w:val="20"/>
                <w:lang w:bidi="ar"/>
              </w:rPr>
              <w:t xml:space="preserve"> </w:t>
            </w:r>
            <w:r>
              <w:rPr>
                <w:rStyle w:val="15"/>
                <w:rFonts w:hint="default"/>
                <w:lang w:bidi="ar"/>
              </w:rPr>
              <w:t>127人</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3EFC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2D6180F5">
        <w:tblPrEx>
          <w:tblCellMar>
            <w:top w:w="0" w:type="dxa"/>
            <w:left w:w="108" w:type="dxa"/>
            <w:bottom w:w="0" w:type="dxa"/>
            <w:right w:w="108" w:type="dxa"/>
          </w:tblCellMar>
        </w:tblPrEx>
        <w:trPr>
          <w:trHeight w:val="740" w:hRule="atLeast"/>
          <w:jc w:val="center"/>
        </w:trPr>
        <w:tc>
          <w:tcPr>
            <w:tcW w:w="18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4CFCDA">
            <w:pPr>
              <w:jc w:val="center"/>
              <w:rPr>
                <w:rFonts w:hint="eastAsia" w:ascii="宋体" w:hAnsi="宋体" w:cs="宋体"/>
                <w:color w:val="000000"/>
                <w:sz w:val="20"/>
                <w:szCs w:val="20"/>
              </w:rPr>
            </w:pPr>
          </w:p>
        </w:tc>
        <w:tc>
          <w:tcPr>
            <w:tcW w:w="11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C1B0F8">
            <w:pPr>
              <w:jc w:val="center"/>
              <w:rPr>
                <w:rFonts w:hint="eastAsia" w:ascii="宋体" w:hAnsi="宋体" w:cs="宋体"/>
                <w:color w:val="000000"/>
                <w:sz w:val="20"/>
                <w:szCs w:val="20"/>
              </w:rPr>
            </w:pP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C1A3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开展教师培训数量</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9881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=3次</w:t>
            </w:r>
          </w:p>
        </w:tc>
        <w:tc>
          <w:tcPr>
            <w:tcW w:w="11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E288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木垒哈萨克自治县博斯坦乡中心学校2023年工作计划</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6BE7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6A84C">
            <w:pPr>
              <w:widowControl/>
              <w:jc w:val="center"/>
              <w:textAlignment w:val="center"/>
              <w:rPr>
                <w:rFonts w:ascii="Arial" w:hAnsi="Arial" w:cs="Arial"/>
                <w:color w:val="000000"/>
                <w:sz w:val="20"/>
                <w:szCs w:val="20"/>
              </w:rPr>
            </w:pPr>
            <w:r>
              <w:rPr>
                <w:rFonts w:ascii="Arial" w:hAnsi="Arial" w:cs="Arial"/>
                <w:color w:val="000000"/>
                <w:kern w:val="0"/>
                <w:sz w:val="20"/>
                <w:szCs w:val="20"/>
                <w:lang w:bidi="ar"/>
              </w:rPr>
              <w:t xml:space="preserve"> </w:t>
            </w:r>
            <w:r>
              <w:rPr>
                <w:rStyle w:val="15"/>
                <w:rFonts w:hint="default"/>
                <w:lang w:bidi="ar"/>
              </w:rPr>
              <w:t>8次</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C1E9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6DD1923C">
        <w:tblPrEx>
          <w:tblCellMar>
            <w:top w:w="0" w:type="dxa"/>
            <w:left w:w="108" w:type="dxa"/>
            <w:bottom w:w="0" w:type="dxa"/>
            <w:right w:w="108" w:type="dxa"/>
          </w:tblCellMar>
        </w:tblPrEx>
        <w:trPr>
          <w:trHeight w:val="740" w:hRule="atLeast"/>
          <w:jc w:val="center"/>
        </w:trPr>
        <w:tc>
          <w:tcPr>
            <w:tcW w:w="18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A92DC5">
            <w:pPr>
              <w:jc w:val="center"/>
              <w:rPr>
                <w:rFonts w:hint="eastAsia" w:ascii="宋体" w:hAnsi="宋体" w:cs="宋体"/>
                <w:color w:val="000000"/>
                <w:sz w:val="20"/>
                <w:szCs w:val="20"/>
              </w:rPr>
            </w:pPr>
          </w:p>
        </w:tc>
        <w:tc>
          <w:tcPr>
            <w:tcW w:w="11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0D5BD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E41B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控辍保学率</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DB38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w:t>
            </w:r>
          </w:p>
        </w:tc>
        <w:tc>
          <w:tcPr>
            <w:tcW w:w="11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3955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木垒哈萨克自治县博斯坦乡中心学校2023年工作计划</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1227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D4B9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6757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r>
      <w:tr w14:paraId="7C93D353">
        <w:tblPrEx>
          <w:tblCellMar>
            <w:top w:w="0" w:type="dxa"/>
            <w:left w:w="108" w:type="dxa"/>
            <w:bottom w:w="0" w:type="dxa"/>
            <w:right w:w="108" w:type="dxa"/>
          </w:tblCellMar>
        </w:tblPrEx>
        <w:trPr>
          <w:trHeight w:val="740" w:hRule="atLeast"/>
          <w:jc w:val="center"/>
        </w:trPr>
        <w:tc>
          <w:tcPr>
            <w:tcW w:w="18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EB96B2">
            <w:pPr>
              <w:jc w:val="center"/>
              <w:rPr>
                <w:rFonts w:hint="eastAsia" w:ascii="宋体" w:hAnsi="宋体" w:cs="宋体"/>
                <w:color w:val="000000"/>
                <w:sz w:val="20"/>
                <w:szCs w:val="20"/>
              </w:rPr>
            </w:pPr>
          </w:p>
        </w:tc>
        <w:tc>
          <w:tcPr>
            <w:tcW w:w="11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9AB252">
            <w:pPr>
              <w:jc w:val="center"/>
              <w:rPr>
                <w:rFonts w:hint="eastAsia" w:ascii="宋体" w:hAnsi="宋体" w:cs="宋体"/>
                <w:color w:val="000000"/>
                <w:sz w:val="20"/>
                <w:szCs w:val="20"/>
              </w:rPr>
            </w:pP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EB1D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助学金发放及时率</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AD2B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1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FBF7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木垒哈萨克自治县博斯坦乡中心学校2023年工作计划</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BFE7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455D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0130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26F5C602">
        <w:tblPrEx>
          <w:tblCellMar>
            <w:top w:w="0" w:type="dxa"/>
            <w:left w:w="108" w:type="dxa"/>
            <w:bottom w:w="0" w:type="dxa"/>
            <w:right w:w="108" w:type="dxa"/>
          </w:tblCellMar>
        </w:tblPrEx>
        <w:trPr>
          <w:trHeight w:val="740" w:hRule="atLeast"/>
          <w:jc w:val="center"/>
        </w:trPr>
        <w:tc>
          <w:tcPr>
            <w:tcW w:w="18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FE3F2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履职效能</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42FA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E596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各类培训及学习次数</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B620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&gt;=20次</w:t>
            </w:r>
          </w:p>
        </w:tc>
        <w:tc>
          <w:tcPr>
            <w:tcW w:w="11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57D3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木垒哈萨克自治县博斯坦乡中心学校2023年工作计划</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6578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CBC6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22次</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EDBC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54FF2943">
        <w:tblPrEx>
          <w:tblCellMar>
            <w:top w:w="0" w:type="dxa"/>
            <w:left w:w="108" w:type="dxa"/>
            <w:bottom w:w="0" w:type="dxa"/>
            <w:right w:w="108" w:type="dxa"/>
          </w:tblCellMar>
        </w:tblPrEx>
        <w:trPr>
          <w:trHeight w:val="740" w:hRule="atLeast"/>
          <w:jc w:val="center"/>
        </w:trPr>
        <w:tc>
          <w:tcPr>
            <w:tcW w:w="18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D38083">
            <w:pPr>
              <w:jc w:val="center"/>
              <w:rPr>
                <w:rFonts w:hint="eastAsia" w:ascii="宋体" w:hAnsi="宋体" w:cs="宋体"/>
                <w:color w:val="000000"/>
                <w:sz w:val="20"/>
                <w:szCs w:val="20"/>
              </w:rPr>
            </w:pPr>
          </w:p>
        </w:tc>
        <w:tc>
          <w:tcPr>
            <w:tcW w:w="11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3DC4A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89E8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教师培训合格率</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44BA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&gt;=95%</w:t>
            </w:r>
          </w:p>
        </w:tc>
        <w:tc>
          <w:tcPr>
            <w:tcW w:w="11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1AFD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木垒哈萨克自治县博斯坦乡中心学校2023年工作计划</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A3E9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83F3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95%</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E803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r>
      <w:tr w14:paraId="65200933">
        <w:tblPrEx>
          <w:tblCellMar>
            <w:top w:w="0" w:type="dxa"/>
            <w:left w:w="108" w:type="dxa"/>
            <w:bottom w:w="0" w:type="dxa"/>
            <w:right w:w="108" w:type="dxa"/>
          </w:tblCellMar>
        </w:tblPrEx>
        <w:trPr>
          <w:trHeight w:val="740" w:hRule="atLeast"/>
          <w:jc w:val="center"/>
        </w:trPr>
        <w:tc>
          <w:tcPr>
            <w:tcW w:w="18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0AB1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w:t>
            </w:r>
          </w:p>
        </w:tc>
        <w:tc>
          <w:tcPr>
            <w:tcW w:w="11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9FD945">
            <w:pPr>
              <w:jc w:val="center"/>
              <w:rPr>
                <w:rFonts w:hint="eastAsia" w:ascii="宋体" w:hAnsi="宋体" w:cs="宋体"/>
                <w:color w:val="000000"/>
                <w:sz w:val="20"/>
                <w:szCs w:val="20"/>
              </w:rPr>
            </w:pP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260CB">
            <w:pPr>
              <w:jc w:val="center"/>
              <w:rPr>
                <w:rFonts w:hint="eastAsia" w:ascii="宋体" w:hAnsi="宋体" w:cs="宋体"/>
                <w:color w:val="000000"/>
                <w:sz w:val="20"/>
                <w:szCs w:val="20"/>
              </w:rPr>
            </w:pP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C1952">
            <w:pPr>
              <w:jc w:val="center"/>
              <w:rPr>
                <w:rFonts w:hint="eastAsia" w:ascii="宋体" w:hAnsi="宋体" w:cs="宋体"/>
                <w:color w:val="000000"/>
                <w:sz w:val="20"/>
                <w:szCs w:val="20"/>
              </w:rPr>
            </w:pPr>
          </w:p>
        </w:tc>
        <w:tc>
          <w:tcPr>
            <w:tcW w:w="11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6B2DA">
            <w:pPr>
              <w:jc w:val="center"/>
              <w:rPr>
                <w:rFonts w:hint="eastAsia" w:ascii="宋体" w:hAnsi="宋体" w:cs="宋体"/>
                <w:color w:val="000000"/>
                <w:sz w:val="20"/>
                <w:szCs w:val="20"/>
              </w:rPr>
            </w:pP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4B871">
            <w:pPr>
              <w:jc w:val="center"/>
              <w:rPr>
                <w:rFonts w:hint="eastAsia" w:ascii="宋体" w:hAnsi="宋体" w:cs="宋体"/>
                <w:color w:val="000000"/>
                <w:sz w:val="20"/>
                <w:szCs w:val="20"/>
              </w:rPr>
            </w:pP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F989D">
            <w:pPr>
              <w:jc w:val="center"/>
              <w:rPr>
                <w:rFonts w:hint="eastAsia" w:ascii="宋体" w:hAnsi="宋体" w:cs="宋体"/>
                <w:color w:val="000000"/>
                <w:sz w:val="20"/>
                <w:szCs w:val="20"/>
              </w:rPr>
            </w:pP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F1DA1">
            <w:pPr>
              <w:jc w:val="center"/>
              <w:rPr>
                <w:rFonts w:hint="eastAsia" w:ascii="宋体" w:hAnsi="宋体" w:cs="宋体"/>
                <w:color w:val="000000"/>
                <w:sz w:val="20"/>
                <w:szCs w:val="20"/>
              </w:rPr>
            </w:pPr>
          </w:p>
        </w:tc>
      </w:tr>
      <w:tr w14:paraId="742D4B2C">
        <w:tblPrEx>
          <w:tblCellMar>
            <w:top w:w="0" w:type="dxa"/>
            <w:left w:w="108" w:type="dxa"/>
            <w:bottom w:w="0" w:type="dxa"/>
            <w:right w:w="108" w:type="dxa"/>
          </w:tblCellMar>
        </w:tblPrEx>
        <w:trPr>
          <w:trHeight w:val="740" w:hRule="atLeast"/>
          <w:jc w:val="center"/>
        </w:trPr>
        <w:tc>
          <w:tcPr>
            <w:tcW w:w="18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AA9A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可持续发展能力</w:t>
            </w:r>
          </w:p>
        </w:tc>
        <w:tc>
          <w:tcPr>
            <w:tcW w:w="11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19C7BF">
            <w:pPr>
              <w:jc w:val="center"/>
              <w:rPr>
                <w:rFonts w:hint="eastAsia" w:ascii="宋体" w:hAnsi="宋体" w:cs="宋体"/>
                <w:color w:val="000000"/>
                <w:sz w:val="20"/>
                <w:szCs w:val="20"/>
              </w:rPr>
            </w:pP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6F7B4">
            <w:pPr>
              <w:jc w:val="center"/>
              <w:rPr>
                <w:rFonts w:hint="eastAsia" w:ascii="宋体" w:hAnsi="宋体" w:cs="宋体"/>
                <w:color w:val="000000"/>
                <w:sz w:val="20"/>
                <w:szCs w:val="20"/>
              </w:rPr>
            </w:pP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EC963">
            <w:pPr>
              <w:jc w:val="center"/>
              <w:rPr>
                <w:rFonts w:hint="eastAsia" w:ascii="宋体" w:hAnsi="宋体" w:cs="宋体"/>
                <w:color w:val="000000"/>
                <w:sz w:val="20"/>
                <w:szCs w:val="20"/>
              </w:rPr>
            </w:pPr>
          </w:p>
        </w:tc>
        <w:tc>
          <w:tcPr>
            <w:tcW w:w="11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1A9CF">
            <w:pPr>
              <w:jc w:val="center"/>
              <w:rPr>
                <w:rFonts w:hint="eastAsia" w:ascii="宋体" w:hAnsi="宋体" w:cs="宋体"/>
                <w:color w:val="000000"/>
                <w:sz w:val="20"/>
                <w:szCs w:val="20"/>
              </w:rPr>
            </w:pP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053C9">
            <w:pPr>
              <w:jc w:val="center"/>
              <w:rPr>
                <w:rFonts w:hint="eastAsia" w:ascii="宋体" w:hAnsi="宋体" w:cs="宋体"/>
                <w:color w:val="000000"/>
                <w:sz w:val="20"/>
                <w:szCs w:val="20"/>
              </w:rPr>
            </w:pP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B51B1">
            <w:pPr>
              <w:jc w:val="center"/>
              <w:rPr>
                <w:rFonts w:hint="eastAsia" w:ascii="宋体" w:hAnsi="宋体" w:cs="宋体"/>
                <w:color w:val="000000"/>
                <w:sz w:val="20"/>
                <w:szCs w:val="20"/>
              </w:rPr>
            </w:pP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22842">
            <w:pPr>
              <w:jc w:val="center"/>
              <w:rPr>
                <w:rFonts w:hint="eastAsia" w:ascii="宋体" w:hAnsi="宋体" w:cs="宋体"/>
                <w:color w:val="000000"/>
                <w:sz w:val="20"/>
                <w:szCs w:val="20"/>
              </w:rPr>
            </w:pPr>
          </w:p>
        </w:tc>
      </w:tr>
      <w:tr w14:paraId="18BEFDC6">
        <w:tblPrEx>
          <w:tblCellMar>
            <w:top w:w="0" w:type="dxa"/>
            <w:left w:w="108" w:type="dxa"/>
            <w:bottom w:w="0" w:type="dxa"/>
            <w:right w:w="108" w:type="dxa"/>
          </w:tblCellMar>
        </w:tblPrEx>
        <w:trPr>
          <w:trHeight w:val="740" w:hRule="atLeast"/>
          <w:jc w:val="center"/>
        </w:trPr>
        <w:tc>
          <w:tcPr>
            <w:tcW w:w="18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8B2E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服务对象满意度</w:t>
            </w:r>
          </w:p>
        </w:tc>
        <w:tc>
          <w:tcPr>
            <w:tcW w:w="11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E2B6E8">
            <w:pPr>
              <w:jc w:val="center"/>
              <w:rPr>
                <w:rFonts w:hint="eastAsia" w:ascii="宋体" w:hAnsi="宋体" w:cs="宋体"/>
                <w:color w:val="000000"/>
                <w:sz w:val="20"/>
                <w:szCs w:val="20"/>
              </w:rPr>
            </w:pP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A2C1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师生满意度</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D5DB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&gt;=90%</w:t>
            </w:r>
          </w:p>
        </w:tc>
        <w:tc>
          <w:tcPr>
            <w:tcW w:w="11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55B9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木垒哈萨克自治县博斯坦乡中心学校2023年工作计划</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E38D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87ED8">
            <w:pPr>
              <w:widowControl/>
              <w:jc w:val="center"/>
              <w:textAlignment w:val="center"/>
              <w:rPr>
                <w:rFonts w:ascii="Arial" w:hAnsi="Arial" w:cs="Arial"/>
                <w:color w:val="000000"/>
                <w:sz w:val="20"/>
                <w:szCs w:val="20"/>
              </w:rPr>
            </w:pPr>
            <w:r>
              <w:rPr>
                <w:rFonts w:ascii="Arial" w:hAnsi="Arial" w:cs="Arial"/>
                <w:color w:val="000000"/>
                <w:kern w:val="0"/>
                <w:sz w:val="20"/>
                <w:szCs w:val="20"/>
                <w:lang w:bidi="ar"/>
              </w:rPr>
              <w:t xml:space="preserve"> </w:t>
            </w:r>
            <w:r>
              <w:rPr>
                <w:rStyle w:val="15"/>
                <w:rFonts w:hint="default"/>
                <w:lang w:bidi="ar"/>
              </w:rPr>
              <w:t>90%</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5E5A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r>
    </w:tbl>
    <w:p w14:paraId="0DB6B516">
      <w:pPr>
        <w:ind w:firstLine="640" w:firstLineChars="200"/>
        <w:jc w:val="left"/>
        <w:rPr>
          <w:rFonts w:hint="eastAsia" w:ascii="黑体" w:hAnsi="黑体" w:eastAsia="黑体" w:cs="宋体"/>
          <w:bCs/>
          <w:kern w:val="0"/>
          <w:sz w:val="32"/>
          <w:szCs w:val="32"/>
        </w:rPr>
      </w:pPr>
    </w:p>
    <w:p w14:paraId="6A7FF391">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6B411320">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我单位本年资金紧张未购买办公用品及设备。因此政府采购金额支出为0.00万元。其中授予中小企业合同金额、授予小微企业合同金额为0.00万元。</w:t>
      </w:r>
    </w:p>
    <w:p w14:paraId="3145CF14">
      <w:pPr>
        <w:jc w:val="center"/>
        <w:outlineLvl w:val="0"/>
        <w:rPr>
          <w:rFonts w:hint="eastAsia" w:ascii="黑体" w:hAnsi="黑体" w:eastAsia="黑体"/>
          <w:sz w:val="32"/>
          <w:szCs w:val="32"/>
        </w:rPr>
      </w:pPr>
      <w:bookmarkStart w:id="30" w:name="_Toc3250"/>
      <w:bookmarkStart w:id="31"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5D46587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16AFB3C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028B7A7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0E33829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730498D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0097ECE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77B421F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61D2761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AB7EC9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54DC6C0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7F9CC552">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2945AB6E">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0E1A911B">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6DC2803">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341E1A3F">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321A35D6">
      <w:pPr>
        <w:ind w:firstLine="640" w:firstLineChars="200"/>
        <w:outlineLvl w:val="1"/>
        <w:rPr>
          <w:rFonts w:hint="eastAsia"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14:paraId="2406B27E">
      <w:pPr>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14:paraId="399CC2DF">
      <w:pPr>
        <w:ind w:firstLine="640" w:firstLineChars="200"/>
        <w:outlineLvl w:val="1"/>
        <w:rPr>
          <w:rFonts w:hint="eastAsia"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14:paraId="170DF0FB">
      <w:pPr>
        <w:ind w:firstLine="640" w:firstLineChars="200"/>
        <w:outlineLvl w:val="1"/>
        <w:rPr>
          <w:rFonts w:hint="eastAsia"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14:paraId="4B91B706">
      <w:pPr>
        <w:ind w:firstLine="640" w:firstLineChars="200"/>
        <w:outlineLvl w:val="1"/>
        <w:rPr>
          <w:rFonts w:hint="eastAsia"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14:paraId="5D9BC0C0">
      <w:pPr>
        <w:ind w:firstLine="640" w:firstLineChars="200"/>
        <w:outlineLvl w:val="1"/>
        <w:rPr>
          <w:rFonts w:hint="eastAsia"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14:paraId="1D70E08C">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14:paraId="7A35B607">
      <w:pPr>
        <w:ind w:firstLine="640" w:firstLineChars="200"/>
        <w:outlineLvl w:val="1"/>
        <w:rPr>
          <w:rFonts w:hint="eastAsia"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14:paraId="3622E99F">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725A1E91">
      <w:pPr>
        <w:ind w:firstLine="640" w:firstLineChars="200"/>
        <w:rPr>
          <w:rFonts w:ascii="仿宋_GB2312" w:eastAsia="仿宋_GB2312"/>
          <w:sz w:val="32"/>
          <w:szCs w:val="32"/>
        </w:rPr>
      </w:pPr>
    </w:p>
    <w:p w14:paraId="6A87F094">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98D52B">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C3C9E4A">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4C3C9E4A">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zZDQ1MzgxMjczNzMwZjc0NmVkMzY5NzhjMWY5MmQifQ=="/>
    <w:docVar w:name="KSO_WPS_MARK_KEY" w:val="41ee2a61-2d54-4f93-83be-afdb9a40d732"/>
  </w:docVars>
  <w:rsids>
    <w:rsidRoot w:val="00972BAD"/>
    <w:rsid w:val="00213C59"/>
    <w:rsid w:val="003210CE"/>
    <w:rsid w:val="00332435"/>
    <w:rsid w:val="003B7A7E"/>
    <w:rsid w:val="003C1EFC"/>
    <w:rsid w:val="003D3BC9"/>
    <w:rsid w:val="00891364"/>
    <w:rsid w:val="008D205C"/>
    <w:rsid w:val="00972BAD"/>
    <w:rsid w:val="009F0514"/>
    <w:rsid w:val="00A83395"/>
    <w:rsid w:val="00B70D59"/>
    <w:rsid w:val="00F52A8D"/>
    <w:rsid w:val="00F800B0"/>
    <w:rsid w:val="00FF45CE"/>
    <w:rsid w:val="019404F8"/>
    <w:rsid w:val="02BC7D06"/>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8B0904"/>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7FB3435"/>
    <w:rsid w:val="180059E9"/>
    <w:rsid w:val="184510FD"/>
    <w:rsid w:val="190648B0"/>
    <w:rsid w:val="19071D6C"/>
    <w:rsid w:val="19D26CD4"/>
    <w:rsid w:val="19E60D19"/>
    <w:rsid w:val="1A3E3450"/>
    <w:rsid w:val="1AD807E5"/>
    <w:rsid w:val="1B39345B"/>
    <w:rsid w:val="1BFB2A1F"/>
    <w:rsid w:val="1C015D4A"/>
    <w:rsid w:val="1C08003D"/>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0C1D1D"/>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7F4EC2"/>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E465CD"/>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262F44"/>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0746CC"/>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autoRedefine/>
    <w:qFormat/>
    <w:uiPriority w:val="0"/>
  </w:style>
  <w:style w:type="paragraph" w:styleId="7">
    <w:name w:val="toc 2"/>
    <w:basedOn w:val="1"/>
    <w:next w:val="1"/>
    <w:autoRedefine/>
    <w:qFormat/>
    <w:uiPriority w:val="0"/>
    <w:pPr>
      <w:ind w:left="420" w:leftChars="200"/>
    </w:pPr>
  </w:style>
  <w:style w:type="paragraph" w:styleId="8">
    <w:name w:val="Normal (Web)"/>
    <w:basedOn w:val="1"/>
    <w:autoRedefine/>
    <w:qFormat/>
    <w:uiPriority w:val="0"/>
    <w:pPr>
      <w:spacing w:before="100" w:beforeAutospacing="1" w:after="100" w:afterAutospacing="1"/>
      <w:jc w:val="left"/>
    </w:pPr>
    <w:rPr>
      <w:kern w:val="0"/>
      <w:sz w:val="24"/>
    </w:rPr>
  </w:style>
  <w:style w:type="character" w:styleId="11">
    <w:name w:val="Strong"/>
    <w:basedOn w:val="10"/>
    <w:autoRedefine/>
    <w:qFormat/>
    <w:uiPriority w:val="0"/>
    <w:rPr>
      <w:b/>
    </w:rPr>
  </w:style>
  <w:style w:type="paragraph" w:customStyle="1" w:styleId="12">
    <w:name w:val="WPSOffice手动目录 3"/>
    <w:autoRedefine/>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autoRedefine/>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autoRedefine/>
    <w:qFormat/>
    <w:uiPriority w:val="0"/>
    <w:rPr>
      <w:rFonts w:ascii="Times New Roman" w:hAnsi="Times New Roman" w:eastAsia="宋体" w:cs="Times New Roman"/>
      <w:lang w:val="en-US" w:eastAsia="zh-CN" w:bidi="ar-SA"/>
    </w:rPr>
  </w:style>
  <w:style w:type="character" w:customStyle="1" w:styleId="15">
    <w:name w:val="font21"/>
    <w:basedOn w:val="10"/>
    <w:autoRedefine/>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18</Pages>
  <Words>6204</Words>
  <Characters>7015</Characters>
  <Lines>58</Lines>
  <Paragraphs>16</Paragraphs>
  <TotalTime>17</TotalTime>
  <ScaleCrop>false</ScaleCrop>
  <LinksUpToDate>false</LinksUpToDate>
  <CharactersWithSpaces>7031</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杜里里oppo</cp:lastModifiedBy>
  <dcterms:modified xsi:type="dcterms:W3CDTF">2024-11-12T10:08:05Z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D624B15633CD43C8BF9435464A96BF70</vt:lpwstr>
  </property>
</Properties>
</file>